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48"/>
        </w:tabs>
        <w:rPr>
          <w:rFonts w:ascii="宋体" w:hAnsi="宋体"/>
          <w:b/>
          <w:sz w:val="44"/>
        </w:rPr>
      </w:pPr>
    </w:p>
    <w:p>
      <w:pPr>
        <w:tabs>
          <w:tab w:val="left" w:pos="6248"/>
        </w:tabs>
        <w:jc w:val="center"/>
        <w:rPr>
          <w:rFonts w:ascii="宋体" w:hAnsi="宋体"/>
          <w:b/>
          <w:sz w:val="48"/>
        </w:rPr>
      </w:pPr>
      <w:r>
        <w:rPr>
          <w:rFonts w:hint="eastAsia" w:ascii="宋体" w:hAnsi="宋体"/>
          <w:b/>
          <w:sz w:val="44"/>
        </w:rPr>
        <w:t>片仔癀年度小散工程设计</w:t>
      </w:r>
    </w:p>
    <w:p>
      <w:pPr>
        <w:spacing w:line="360" w:lineRule="auto"/>
        <w:jc w:val="center"/>
        <w:rPr>
          <w:rFonts w:ascii="宋体" w:hAnsi="宋体"/>
          <w:b/>
          <w:sz w:val="56"/>
        </w:rPr>
      </w:pPr>
    </w:p>
    <w:p>
      <w:pPr>
        <w:rPr>
          <w:rFonts w:ascii="宋体" w:hAnsi="宋体"/>
          <w:b/>
          <w:sz w:val="56"/>
        </w:rPr>
      </w:pPr>
    </w:p>
    <w:p>
      <w:pPr>
        <w:spacing w:line="440" w:lineRule="auto"/>
        <w:jc w:val="center"/>
        <w:rPr>
          <w:rFonts w:ascii="宋体" w:hAnsi="宋体"/>
          <w:b/>
          <w:sz w:val="56"/>
        </w:rPr>
      </w:pPr>
    </w:p>
    <w:p>
      <w:pPr>
        <w:rPr>
          <w:rFonts w:eastAsia="Calibri" w:cs="Calibri"/>
        </w:rPr>
      </w:pPr>
    </w:p>
    <w:p>
      <w:pPr>
        <w:spacing w:line="440" w:lineRule="auto"/>
        <w:jc w:val="center"/>
        <w:rPr>
          <w:rFonts w:ascii="宋体" w:hAnsi="宋体"/>
          <w:b/>
          <w:sz w:val="44"/>
        </w:rPr>
      </w:pPr>
    </w:p>
    <w:p>
      <w:pPr>
        <w:rPr>
          <w:rFonts w:eastAsia="Calibri" w:cs="Calibri"/>
        </w:rPr>
      </w:pPr>
    </w:p>
    <w:p>
      <w:pPr>
        <w:jc w:val="center"/>
        <w:rPr>
          <w:rFonts w:hint="eastAsia" w:ascii="宋体" w:hAnsi="宋体" w:eastAsia="宋体"/>
          <w:b/>
          <w:sz w:val="84"/>
          <w:lang w:eastAsia="zh-CN"/>
        </w:rPr>
      </w:pPr>
      <w:r>
        <w:rPr>
          <w:rFonts w:ascii="宋体" w:hAnsi="宋体"/>
          <w:b/>
          <w:sz w:val="84"/>
        </w:rPr>
        <w:t xml:space="preserve">比 选 </w:t>
      </w:r>
      <w:r>
        <w:rPr>
          <w:rFonts w:hint="eastAsia" w:ascii="宋体" w:hAnsi="宋体"/>
          <w:b/>
          <w:sz w:val="84"/>
          <w:lang w:eastAsia="zh-CN"/>
        </w:rPr>
        <w:t>公</w:t>
      </w:r>
      <w:r>
        <w:rPr>
          <w:rFonts w:hint="eastAsia" w:ascii="宋体" w:hAnsi="宋体"/>
          <w:b/>
          <w:sz w:val="84"/>
          <w:lang w:val="en-US" w:eastAsia="zh-CN"/>
        </w:rPr>
        <w:t xml:space="preserve"> </w:t>
      </w:r>
      <w:r>
        <w:rPr>
          <w:rFonts w:hint="eastAsia" w:ascii="宋体" w:hAnsi="宋体"/>
          <w:b/>
          <w:sz w:val="84"/>
          <w:lang w:eastAsia="zh-CN"/>
        </w:rPr>
        <w:t>告</w:t>
      </w:r>
    </w:p>
    <w:p>
      <w:pPr>
        <w:rPr>
          <w:rFonts w:ascii="宋体" w:hAnsi="宋体"/>
          <w:b/>
          <w:sz w:val="30"/>
        </w:rPr>
      </w:pPr>
    </w:p>
    <w:p>
      <w:pPr>
        <w:tabs>
          <w:tab w:val="left" w:pos="6445"/>
        </w:tabs>
        <w:rPr>
          <w:rFonts w:ascii="宋体" w:hAnsi="宋体"/>
          <w:b/>
          <w:sz w:val="32"/>
        </w:rPr>
      </w:pPr>
      <w:r>
        <w:rPr>
          <w:rFonts w:hint="eastAsia" w:ascii="宋体" w:hAnsi="宋体"/>
          <w:b/>
          <w:sz w:val="32"/>
        </w:rPr>
        <w:tab/>
      </w:r>
    </w:p>
    <w:p>
      <w:pPr>
        <w:pStyle w:val="5"/>
      </w:pPr>
    </w:p>
    <w:p>
      <w:pPr>
        <w:spacing w:line="400" w:lineRule="auto"/>
        <w:rPr>
          <w:rFonts w:ascii="宋体" w:hAnsi="宋体"/>
        </w:rPr>
      </w:pPr>
    </w:p>
    <w:p>
      <w:pPr>
        <w:spacing w:line="400" w:lineRule="auto"/>
        <w:rPr>
          <w:rFonts w:ascii="宋体" w:hAnsi="宋体"/>
        </w:rPr>
      </w:pPr>
    </w:p>
    <w:p>
      <w:pPr>
        <w:spacing w:line="400" w:lineRule="auto"/>
        <w:rPr>
          <w:rFonts w:ascii="宋体" w:hAnsi="宋体"/>
        </w:rPr>
      </w:pPr>
    </w:p>
    <w:p>
      <w:pPr>
        <w:spacing w:line="360" w:lineRule="auto"/>
        <w:ind w:firstLine="1431"/>
        <w:rPr>
          <w:rFonts w:ascii="宋体" w:hAnsi="宋体"/>
          <w:b/>
          <w:sz w:val="36"/>
        </w:rPr>
      </w:pPr>
      <w:r>
        <w:rPr>
          <w:rFonts w:hint="eastAsia" w:ascii="宋体" w:hAnsi="宋体"/>
          <w:b/>
          <w:sz w:val="36"/>
        </w:rPr>
        <w:t>比 选</w:t>
      </w:r>
      <w:r>
        <w:rPr>
          <w:rFonts w:ascii="宋体" w:hAnsi="宋体"/>
          <w:b/>
          <w:sz w:val="36"/>
        </w:rPr>
        <w:t xml:space="preserve"> 人:</w:t>
      </w:r>
      <w:r>
        <w:rPr>
          <w:rFonts w:hint="eastAsia" w:ascii="宋体" w:hAnsi="宋体"/>
          <w:b/>
          <w:sz w:val="36"/>
        </w:rPr>
        <w:t>漳州片仔癀药业股份有限公司</w:t>
      </w:r>
    </w:p>
    <w:p>
      <w:pPr>
        <w:spacing w:line="360" w:lineRule="auto"/>
        <w:ind w:firstLine="1431"/>
        <w:rPr>
          <w:rFonts w:ascii="宋体" w:hAnsi="宋体"/>
          <w:b/>
          <w:sz w:val="36"/>
        </w:rPr>
      </w:pPr>
      <w:r>
        <w:rPr>
          <w:rFonts w:ascii="宋体" w:hAnsi="宋体"/>
          <w:b/>
          <w:sz w:val="36"/>
        </w:rPr>
        <w:t>招标代理单位: 广东粤能工程管理有限公司</w:t>
      </w:r>
    </w:p>
    <w:p>
      <w:pPr>
        <w:spacing w:line="360" w:lineRule="auto"/>
        <w:ind w:firstLine="1431"/>
        <w:rPr>
          <w:rFonts w:ascii="宋体" w:hAnsi="宋体"/>
          <w:b/>
          <w:sz w:val="36"/>
        </w:rPr>
      </w:pPr>
      <w:r>
        <w:rPr>
          <w:rFonts w:hint="eastAsia" w:ascii="宋体" w:hAnsi="宋体"/>
          <w:b/>
          <w:sz w:val="32"/>
          <w:szCs w:val="32"/>
        </w:rPr>
        <w:t>日        期：</w:t>
      </w:r>
      <w:r>
        <w:rPr>
          <w:rFonts w:ascii="宋体" w:hAnsi="宋体"/>
          <w:b/>
          <w:sz w:val="32"/>
        </w:rPr>
        <w:t>2022年1</w:t>
      </w:r>
      <w:r>
        <w:rPr>
          <w:rFonts w:hint="eastAsia" w:ascii="宋体" w:hAnsi="宋体"/>
          <w:b/>
          <w:sz w:val="32"/>
          <w:lang w:val="en-US" w:eastAsia="zh-CN"/>
        </w:rPr>
        <w:t>2</w:t>
      </w:r>
      <w:r>
        <w:rPr>
          <w:rFonts w:ascii="宋体" w:hAnsi="宋体"/>
          <w:b/>
          <w:sz w:val="32"/>
        </w:rPr>
        <w:t>月</w:t>
      </w:r>
    </w:p>
    <w:p>
      <w:pPr>
        <w:rPr>
          <w:rFonts w:ascii="宋体" w:hAnsi="宋体"/>
        </w:rPr>
      </w:pPr>
    </w:p>
    <w:p>
      <w:pPr>
        <w:pStyle w:val="5"/>
        <w:ind w:left="0" w:leftChars="0" w:firstLine="0" w:firstLineChars="0"/>
        <w:sectPr>
          <w:headerReference r:id="rId3" w:type="default"/>
          <w:footerReference r:id="rId4" w:type="default"/>
          <w:pgSz w:w="11906" w:h="16838"/>
          <w:pgMar w:top="1440" w:right="1236" w:bottom="1440" w:left="1236" w:header="851" w:footer="992" w:gutter="0"/>
          <w:cols w:space="425" w:num="1"/>
          <w:docGrid w:type="lines" w:linePitch="312" w:charSpace="0"/>
        </w:sectPr>
      </w:pPr>
    </w:p>
    <w:p>
      <w:pPr>
        <w:spacing w:after="156" w:line="480" w:lineRule="auto"/>
        <w:jc w:val="center"/>
        <w:rPr>
          <w:rFonts w:ascii="宋体" w:hAnsi="宋体"/>
          <w:b/>
          <w:sz w:val="44"/>
        </w:rPr>
      </w:pPr>
      <w:r>
        <w:rPr>
          <w:rFonts w:ascii="宋体" w:hAnsi="宋体"/>
          <w:b/>
          <w:sz w:val="44"/>
        </w:rPr>
        <w:t>第一章</w:t>
      </w:r>
      <w:r>
        <w:rPr>
          <w:rFonts w:ascii="宋体" w:hAnsi="宋体"/>
          <w:b/>
          <w:sz w:val="44"/>
        </w:rPr>
        <w:tab/>
      </w:r>
      <w:r>
        <w:rPr>
          <w:rFonts w:ascii="宋体" w:hAnsi="宋体"/>
          <w:b/>
          <w:sz w:val="44"/>
        </w:rPr>
        <w:t>比选邀请函</w:t>
      </w:r>
    </w:p>
    <w:p>
      <w:pPr>
        <w:spacing w:before="312" w:line="480" w:lineRule="auto"/>
        <w:ind w:firstLine="480"/>
        <w:jc w:val="left"/>
        <w:rPr>
          <w:rFonts w:ascii="宋体" w:hAnsi="宋体"/>
          <w:sz w:val="24"/>
          <w:u w:val="single"/>
        </w:rPr>
      </w:pPr>
      <w:r>
        <w:rPr>
          <w:rFonts w:hint="eastAsia" w:ascii="宋体" w:hAnsi="宋体"/>
          <w:sz w:val="24"/>
          <w:szCs w:val="24"/>
          <w:u w:val="single"/>
        </w:rPr>
        <w:t xml:space="preserve">                         </w:t>
      </w:r>
      <w:r>
        <w:rPr>
          <w:rFonts w:ascii="宋体" w:hAnsi="宋体"/>
          <w:sz w:val="24"/>
        </w:rPr>
        <w:t>（被邀请单位）：</w:t>
      </w:r>
    </w:p>
    <w:p>
      <w:pPr>
        <w:spacing w:line="360" w:lineRule="auto"/>
        <w:jc w:val="left"/>
        <w:rPr>
          <w:rFonts w:ascii="宋体" w:hAnsi="宋体"/>
          <w:b/>
          <w:sz w:val="24"/>
        </w:rPr>
      </w:pPr>
      <w:r>
        <w:rPr>
          <w:rFonts w:ascii="宋体" w:hAnsi="宋体"/>
          <w:b/>
          <w:sz w:val="24"/>
        </w:rPr>
        <w:t>一、项目概况</w:t>
      </w:r>
    </w:p>
    <w:p>
      <w:pPr>
        <w:spacing w:line="360" w:lineRule="auto"/>
        <w:ind w:firstLine="482"/>
        <w:jc w:val="left"/>
        <w:rPr>
          <w:rFonts w:ascii="宋体" w:hAnsi="宋体"/>
          <w:sz w:val="24"/>
        </w:rPr>
      </w:pPr>
      <w:r>
        <w:rPr>
          <w:rFonts w:ascii="宋体" w:hAnsi="宋体"/>
          <w:b/>
          <w:sz w:val="24"/>
        </w:rPr>
        <w:t>1.1项目名称</w:t>
      </w:r>
      <w:r>
        <w:rPr>
          <w:rFonts w:ascii="宋体" w:hAnsi="宋体"/>
          <w:sz w:val="24"/>
        </w:rPr>
        <w:t>：</w:t>
      </w:r>
      <w:r>
        <w:rPr>
          <w:rFonts w:hint="eastAsia" w:ascii="宋体" w:hAnsi="宋体"/>
          <w:sz w:val="24"/>
        </w:rPr>
        <w:t>片仔癀年度小散工程设计</w:t>
      </w:r>
      <w:r>
        <w:rPr>
          <w:rFonts w:ascii="宋体" w:hAnsi="宋体"/>
          <w:sz w:val="24"/>
        </w:rPr>
        <w:t>。</w:t>
      </w:r>
    </w:p>
    <w:p>
      <w:pPr>
        <w:spacing w:line="360" w:lineRule="auto"/>
        <w:ind w:firstLine="482"/>
        <w:jc w:val="left"/>
        <w:rPr>
          <w:rFonts w:ascii="宋体" w:hAnsi="宋体"/>
          <w:sz w:val="24"/>
        </w:rPr>
      </w:pPr>
      <w:r>
        <w:rPr>
          <w:rFonts w:ascii="宋体" w:hAnsi="宋体"/>
          <w:b/>
          <w:sz w:val="24"/>
        </w:rPr>
        <w:t>1.2比选人</w:t>
      </w:r>
      <w:r>
        <w:rPr>
          <w:rFonts w:ascii="宋体" w:hAnsi="宋体"/>
          <w:sz w:val="24"/>
        </w:rPr>
        <w:t>：</w:t>
      </w:r>
      <w:r>
        <w:rPr>
          <w:rFonts w:hint="eastAsia" w:ascii="宋体" w:hAnsi="宋体"/>
          <w:sz w:val="24"/>
        </w:rPr>
        <w:t>漳州片仔癀药业股份有限公司</w:t>
      </w:r>
      <w:r>
        <w:rPr>
          <w:rFonts w:ascii="宋体" w:hAnsi="宋体"/>
          <w:sz w:val="24"/>
        </w:rPr>
        <w:t>。</w:t>
      </w:r>
    </w:p>
    <w:p>
      <w:pPr>
        <w:spacing w:line="360" w:lineRule="auto"/>
        <w:ind w:firstLine="482"/>
        <w:jc w:val="left"/>
        <w:rPr>
          <w:rFonts w:ascii="宋体" w:hAnsi="宋体"/>
          <w:sz w:val="24"/>
        </w:rPr>
      </w:pPr>
      <w:r>
        <w:rPr>
          <w:rFonts w:ascii="宋体" w:hAnsi="宋体"/>
          <w:b/>
          <w:sz w:val="24"/>
        </w:rPr>
        <w:t>1.3建设地点</w:t>
      </w:r>
      <w:r>
        <w:rPr>
          <w:rFonts w:ascii="宋体" w:hAnsi="宋体"/>
          <w:sz w:val="24"/>
        </w:rPr>
        <w:t>：</w:t>
      </w:r>
      <w:r>
        <w:rPr>
          <w:rFonts w:hint="eastAsia" w:ascii="宋体" w:hAnsi="宋体"/>
          <w:sz w:val="24"/>
        </w:rPr>
        <w:t>漳州市</w:t>
      </w:r>
      <w:r>
        <w:rPr>
          <w:rFonts w:ascii="宋体" w:hAnsi="宋体"/>
          <w:sz w:val="24"/>
        </w:rPr>
        <w:t>。</w:t>
      </w:r>
    </w:p>
    <w:p>
      <w:pPr>
        <w:spacing w:line="360" w:lineRule="auto"/>
        <w:ind w:firstLine="482"/>
        <w:jc w:val="left"/>
        <w:rPr>
          <w:rFonts w:ascii="宋体" w:hAnsi="宋体"/>
          <w:sz w:val="24"/>
        </w:rPr>
      </w:pPr>
      <w:r>
        <w:rPr>
          <w:rFonts w:ascii="宋体" w:hAnsi="宋体"/>
          <w:b/>
          <w:sz w:val="24"/>
        </w:rPr>
        <w:t>1.4项目概况</w:t>
      </w:r>
      <w:r>
        <w:rPr>
          <w:rFonts w:ascii="宋体" w:hAnsi="宋体"/>
          <w:sz w:val="24"/>
        </w:rPr>
        <w:t>：</w:t>
      </w:r>
      <w:r>
        <w:rPr>
          <w:rFonts w:hint="eastAsia" w:ascii="宋体" w:hAnsi="宋体"/>
          <w:sz w:val="24"/>
        </w:rPr>
        <w:t>片仔癀年度小散工程，估价为600万元</w:t>
      </w:r>
      <w:r>
        <w:rPr>
          <w:rFonts w:ascii="宋体" w:hAnsi="宋体"/>
          <w:sz w:val="24"/>
        </w:rPr>
        <w:t>。</w:t>
      </w:r>
    </w:p>
    <w:p>
      <w:pPr>
        <w:spacing w:line="360" w:lineRule="auto"/>
        <w:ind w:firstLine="420"/>
        <w:rPr>
          <w:rFonts w:ascii="宋体" w:hAnsi="宋体"/>
          <w:sz w:val="24"/>
        </w:rPr>
      </w:pPr>
      <w:r>
        <w:rPr>
          <w:rFonts w:ascii="宋体" w:hAnsi="宋体"/>
          <w:b/>
          <w:sz w:val="24"/>
        </w:rPr>
        <w:t>1.5比选范围和内容</w:t>
      </w:r>
      <w:r>
        <w:rPr>
          <w:rFonts w:ascii="宋体" w:hAnsi="宋体"/>
          <w:sz w:val="24"/>
        </w:rPr>
        <w:t>：</w:t>
      </w:r>
      <w:r>
        <w:rPr>
          <w:rFonts w:hint="eastAsia" w:ascii="宋体" w:hAnsi="宋体"/>
          <w:color w:val="0000FF"/>
          <w:sz w:val="24"/>
          <w:shd w:val="clear" w:color="auto" w:fill="FFFFFF"/>
        </w:rPr>
        <w:t>片仔癀年度小散工程设计</w:t>
      </w:r>
      <w:r>
        <w:rPr>
          <w:rFonts w:ascii="宋体" w:hAnsi="宋体"/>
          <w:color w:val="0000FF"/>
          <w:sz w:val="24"/>
        </w:rPr>
        <w:t>，</w:t>
      </w:r>
      <w:r>
        <w:rPr>
          <w:rFonts w:hint="eastAsia" w:ascii="宋体" w:hAnsi="宋体"/>
          <w:color w:val="0000FF"/>
          <w:sz w:val="24"/>
        </w:rPr>
        <w:t>主要承接公司内部单项合同100万以下项目的设计工作，具体以各项目业主提供的范围为准，</w:t>
      </w:r>
      <w:r>
        <w:rPr>
          <w:rFonts w:ascii="宋体" w:hAnsi="宋体"/>
          <w:color w:val="0000FF"/>
          <w:sz w:val="24"/>
        </w:rPr>
        <w:t>服务内容包含但不限于:</w:t>
      </w:r>
      <w:r>
        <w:rPr>
          <w:rFonts w:hint="eastAsia" w:ascii="宋体" w:hAnsi="宋体"/>
          <w:color w:val="0000FF"/>
          <w:sz w:val="24"/>
        </w:rPr>
        <w:t>方案设计、方案优化、初步设计、施工图设计、概算编制、后续施工指导和配合服务等</w:t>
      </w:r>
      <w:r>
        <w:rPr>
          <w:rFonts w:ascii="宋体" w:hAnsi="宋体"/>
          <w:color w:val="0000FF"/>
          <w:sz w:val="24"/>
        </w:rPr>
        <w:t>。</w:t>
      </w:r>
    </w:p>
    <w:p>
      <w:pPr>
        <w:spacing w:line="360" w:lineRule="auto"/>
        <w:ind w:firstLine="482"/>
        <w:jc w:val="left"/>
        <w:rPr>
          <w:rFonts w:ascii="宋体" w:hAnsi="宋体"/>
          <w:sz w:val="24"/>
        </w:rPr>
      </w:pPr>
      <w:r>
        <w:rPr>
          <w:rFonts w:ascii="宋体" w:hAnsi="宋体"/>
          <w:b/>
          <w:sz w:val="24"/>
        </w:rPr>
        <w:t>1.6服务周期</w:t>
      </w:r>
      <w:r>
        <w:rPr>
          <w:rFonts w:ascii="宋体" w:hAnsi="宋体"/>
          <w:sz w:val="24"/>
        </w:rPr>
        <w:t>：</w:t>
      </w:r>
      <w:r>
        <w:rPr>
          <w:rFonts w:ascii="宋体" w:hAnsi="宋体"/>
          <w:color w:val="0000FF"/>
          <w:sz w:val="24"/>
        </w:rPr>
        <w:t>自合同签订之日</w:t>
      </w:r>
      <w:r>
        <w:rPr>
          <w:rFonts w:hint="eastAsia" w:ascii="宋体" w:hAnsi="宋体"/>
          <w:color w:val="0000FF"/>
          <w:sz w:val="24"/>
        </w:rPr>
        <w:t>起</w:t>
      </w:r>
      <w:r>
        <w:rPr>
          <w:rFonts w:ascii="宋体" w:hAnsi="宋体"/>
          <w:color w:val="0000FF"/>
          <w:sz w:val="24"/>
        </w:rPr>
        <w:t>至</w:t>
      </w:r>
      <w:r>
        <w:rPr>
          <w:rFonts w:hint="eastAsia" w:ascii="宋体" w:hAnsi="宋体"/>
          <w:color w:val="0000FF"/>
          <w:sz w:val="24"/>
        </w:rPr>
        <w:t>一年且提交正式施工图至工程竣工验收、竣工备案止（工期延长、分期施工，设计服务费不予调整</w:t>
      </w:r>
      <w:r>
        <w:rPr>
          <w:rFonts w:hint="eastAsia" w:ascii="宋体" w:hAnsi="宋体"/>
          <w:sz w:val="24"/>
        </w:rPr>
        <w:t>）</w:t>
      </w:r>
      <w:r>
        <w:rPr>
          <w:rFonts w:ascii="宋体" w:hAnsi="宋体"/>
          <w:sz w:val="24"/>
        </w:rPr>
        <w:t>。</w:t>
      </w:r>
    </w:p>
    <w:p>
      <w:pPr>
        <w:spacing w:line="360" w:lineRule="auto"/>
        <w:ind w:firstLine="482"/>
        <w:rPr>
          <w:rFonts w:ascii="宋体" w:hAnsi="宋体"/>
          <w:sz w:val="24"/>
        </w:rPr>
      </w:pPr>
      <w:r>
        <w:rPr>
          <w:rFonts w:ascii="宋体" w:hAnsi="宋体"/>
          <w:b/>
          <w:sz w:val="24"/>
        </w:rPr>
        <w:t>1.7质量要求</w:t>
      </w:r>
      <w:r>
        <w:rPr>
          <w:rFonts w:ascii="宋体" w:hAnsi="宋体"/>
          <w:sz w:val="24"/>
        </w:rPr>
        <w:t>：</w:t>
      </w:r>
      <w:r>
        <w:rPr>
          <w:rFonts w:ascii="宋体" w:hAnsi="宋体"/>
          <w:color w:val="0000FF"/>
          <w:sz w:val="24"/>
        </w:rPr>
        <w:t>达到国家现行设计规范及相关法律法规的要求，并保证成果能顺利通过</w:t>
      </w:r>
      <w:r>
        <w:rPr>
          <w:rFonts w:hint="eastAsia" w:ascii="宋体" w:hAnsi="宋体"/>
          <w:color w:val="0000FF"/>
          <w:sz w:val="24"/>
        </w:rPr>
        <w:t>比选人、</w:t>
      </w:r>
      <w:r>
        <w:rPr>
          <w:rFonts w:ascii="宋体" w:hAnsi="宋体"/>
          <w:color w:val="0000FF"/>
          <w:sz w:val="24"/>
        </w:rPr>
        <w:t>专家</w:t>
      </w:r>
      <w:r>
        <w:rPr>
          <w:rFonts w:hint="eastAsia" w:ascii="宋体" w:hAnsi="宋体"/>
          <w:color w:val="0000FF"/>
          <w:sz w:val="24"/>
        </w:rPr>
        <w:t>评审（如有）</w:t>
      </w:r>
      <w:r>
        <w:rPr>
          <w:rFonts w:ascii="宋体" w:hAnsi="宋体"/>
          <w:color w:val="0000FF"/>
          <w:sz w:val="24"/>
        </w:rPr>
        <w:t>和有关部门</w:t>
      </w:r>
      <w:r>
        <w:rPr>
          <w:rFonts w:hint="eastAsia" w:ascii="宋体" w:hAnsi="宋体"/>
          <w:color w:val="0000FF"/>
          <w:sz w:val="24"/>
        </w:rPr>
        <w:t>（如有）</w:t>
      </w:r>
      <w:r>
        <w:rPr>
          <w:rFonts w:ascii="宋体" w:hAnsi="宋体"/>
          <w:color w:val="0000FF"/>
          <w:sz w:val="24"/>
        </w:rPr>
        <w:t>的审查。</w:t>
      </w:r>
    </w:p>
    <w:p>
      <w:pPr>
        <w:spacing w:line="360" w:lineRule="auto"/>
        <w:rPr>
          <w:rFonts w:ascii="宋体" w:hAnsi="宋体"/>
          <w:b/>
          <w:sz w:val="24"/>
        </w:rPr>
      </w:pPr>
      <w:r>
        <w:rPr>
          <w:rFonts w:ascii="宋体" w:hAnsi="宋体"/>
          <w:b/>
          <w:sz w:val="24"/>
        </w:rPr>
        <w:t>二、资质等级要求及审查办法</w:t>
      </w:r>
    </w:p>
    <w:p>
      <w:pPr>
        <w:spacing w:line="360" w:lineRule="auto"/>
        <w:ind w:firstLine="480"/>
        <w:jc w:val="left"/>
        <w:rPr>
          <w:rFonts w:ascii="宋体" w:hAnsi="宋体"/>
          <w:color w:val="0000FF"/>
          <w:sz w:val="24"/>
        </w:rPr>
      </w:pPr>
      <w:r>
        <w:rPr>
          <w:rFonts w:ascii="宋体" w:hAnsi="宋体"/>
          <w:color w:val="0000FF"/>
          <w:sz w:val="24"/>
        </w:rPr>
        <w:t>2.1比选申请人须具备合格有效的《营业执照》，并具有独立法人资格。</w:t>
      </w:r>
    </w:p>
    <w:p>
      <w:pPr>
        <w:spacing w:line="360" w:lineRule="auto"/>
        <w:ind w:firstLine="480"/>
        <w:rPr>
          <w:rFonts w:ascii="宋体" w:hAnsi="宋体"/>
          <w:color w:val="0000FF"/>
          <w:sz w:val="24"/>
        </w:rPr>
      </w:pPr>
      <w:r>
        <w:rPr>
          <w:rFonts w:ascii="宋体" w:hAnsi="宋体"/>
          <w:color w:val="0000FF"/>
          <w:sz w:val="24"/>
        </w:rPr>
        <w:t>2.2比选申请人须</w:t>
      </w:r>
      <w:r>
        <w:rPr>
          <w:rFonts w:hint="eastAsia" w:ascii="宋体" w:hAnsi="宋体"/>
          <w:color w:val="0000FF"/>
          <w:sz w:val="24"/>
        </w:rPr>
        <w:t>具备合格有效的工程设计综合甲级资质或工程设计行业资质建筑工程设计丙级或以上资质或工程设计专业资质建筑工程设计丙级或以上资质，</w:t>
      </w:r>
      <w:r>
        <w:rPr>
          <w:rFonts w:ascii="宋体" w:hAnsi="宋体"/>
          <w:color w:val="0000FF"/>
          <w:sz w:val="24"/>
        </w:rPr>
        <w:t>在人员、设备、资金等方面具有相应的服务能力。</w:t>
      </w:r>
    </w:p>
    <w:p>
      <w:pPr>
        <w:spacing w:line="360" w:lineRule="auto"/>
        <w:ind w:firstLine="480"/>
        <w:rPr>
          <w:rFonts w:ascii="宋体" w:hAnsi="宋体"/>
          <w:color w:val="0000FF"/>
          <w:sz w:val="24"/>
        </w:rPr>
      </w:pPr>
      <w:r>
        <w:rPr>
          <w:rFonts w:ascii="宋体" w:hAnsi="宋体"/>
          <w:color w:val="0000FF"/>
          <w:sz w:val="24"/>
        </w:rPr>
        <w:t>2.3本项目不接受联合体参选。</w:t>
      </w:r>
    </w:p>
    <w:p>
      <w:pPr>
        <w:spacing w:line="360" w:lineRule="auto"/>
        <w:ind w:firstLine="480"/>
        <w:rPr>
          <w:rFonts w:ascii="宋体" w:hAnsi="宋体"/>
          <w:color w:val="0000FF"/>
          <w:sz w:val="24"/>
        </w:rPr>
      </w:pPr>
      <w:r>
        <w:rPr>
          <w:rFonts w:ascii="宋体" w:hAnsi="宋体"/>
          <w:color w:val="0000FF"/>
          <w:sz w:val="24"/>
        </w:rPr>
        <w:t>2.4比选申请人拟派出的项目负责人应具备</w:t>
      </w:r>
      <w:r>
        <w:rPr>
          <w:rFonts w:hint="eastAsia" w:ascii="宋体" w:hAnsi="宋体"/>
          <w:color w:val="0000FF"/>
          <w:sz w:val="24"/>
        </w:rPr>
        <w:t>二</w:t>
      </w:r>
      <w:r>
        <w:rPr>
          <w:rFonts w:ascii="宋体" w:hAnsi="宋体"/>
          <w:color w:val="0000FF"/>
          <w:sz w:val="24"/>
        </w:rPr>
        <w:t>级</w:t>
      </w:r>
      <w:r>
        <w:rPr>
          <w:rFonts w:hint="eastAsia" w:ascii="宋体" w:hAnsi="宋体"/>
          <w:color w:val="0000FF"/>
          <w:sz w:val="24"/>
        </w:rPr>
        <w:t>及以上</w:t>
      </w:r>
      <w:r>
        <w:rPr>
          <w:rFonts w:ascii="宋体" w:hAnsi="宋体"/>
          <w:color w:val="0000FF"/>
          <w:sz w:val="24"/>
        </w:rPr>
        <w:t>注册建筑师资格且为本单位员工</w:t>
      </w:r>
      <w:r>
        <w:rPr>
          <w:rFonts w:hint="eastAsia" w:ascii="宋体" w:hAnsi="宋体"/>
          <w:color w:val="0000FF"/>
          <w:sz w:val="24"/>
        </w:rPr>
        <w:t>，</w:t>
      </w:r>
      <w:r>
        <w:rPr>
          <w:rFonts w:ascii="宋体" w:hAnsi="宋体"/>
          <w:color w:val="0000FF"/>
          <w:sz w:val="24"/>
        </w:rPr>
        <w:t>以社保管理部门出具近三个月以来的社保缴费证明所署单位</w:t>
      </w:r>
      <w:r>
        <w:rPr>
          <w:rFonts w:hint="eastAsia" w:ascii="宋体" w:hAnsi="宋体"/>
          <w:color w:val="FF0000"/>
          <w:sz w:val="24"/>
        </w:rPr>
        <w:t>或加盖注册章的执业资格证书的章号与投标人单位资质证书号一致为证明</w:t>
      </w:r>
      <w:r>
        <w:rPr>
          <w:rFonts w:ascii="宋体" w:hAnsi="宋体"/>
          <w:color w:val="FF0000"/>
          <w:sz w:val="24"/>
        </w:rPr>
        <w:t>。</w:t>
      </w:r>
    </w:p>
    <w:p>
      <w:pPr>
        <w:spacing w:line="360" w:lineRule="auto"/>
        <w:ind w:firstLine="480"/>
        <w:rPr>
          <w:rFonts w:ascii="宋体" w:hAnsi="宋体"/>
          <w:b/>
          <w:i/>
          <w:color w:val="0000FF"/>
          <w:sz w:val="24"/>
        </w:rPr>
      </w:pPr>
      <w:r>
        <w:rPr>
          <w:rFonts w:ascii="宋体" w:hAnsi="宋体"/>
          <w:color w:val="0000FF"/>
          <w:sz w:val="24"/>
        </w:rPr>
        <w:t>2.5比选申请人应提供《企业信用承诺》：参加比选活动前一年内，比选申请人及其负责人未因经营活动违法违规被县级以上行政主管部门处罚，或无因弄虚作假骗取比选资格；参加比选活动前三年内，比选申请人及其负责人在经营活动中无重大违法违规记录，未被追究刑事责任。</w:t>
      </w:r>
    </w:p>
    <w:p>
      <w:pPr>
        <w:spacing w:line="360" w:lineRule="auto"/>
        <w:ind w:firstLine="480"/>
        <w:rPr>
          <w:rFonts w:ascii="宋体" w:hAnsi="宋体"/>
          <w:color w:val="0000FF"/>
          <w:sz w:val="24"/>
        </w:rPr>
      </w:pPr>
      <w:r>
        <w:rPr>
          <w:rFonts w:ascii="宋体" w:hAnsi="宋体"/>
          <w:color w:val="0000FF"/>
          <w:sz w:val="24"/>
        </w:rPr>
        <w:t>2.6未被有关部门禁止或限制承接国有资金投资项目的相关业务。</w:t>
      </w:r>
    </w:p>
    <w:p>
      <w:pPr>
        <w:spacing w:line="360" w:lineRule="auto"/>
        <w:ind w:firstLine="480"/>
        <w:rPr>
          <w:rFonts w:ascii="宋体" w:hAnsi="宋体"/>
          <w:sz w:val="24"/>
        </w:rPr>
      </w:pPr>
      <w:r>
        <w:rPr>
          <w:rFonts w:ascii="宋体" w:hAnsi="宋体"/>
          <w:sz w:val="24"/>
        </w:rPr>
        <w:t xml:space="preserve">2.7法律﹑法规﹑相关规章规定的其它条件。 </w:t>
      </w:r>
    </w:p>
    <w:p>
      <w:pPr>
        <w:spacing w:line="360" w:lineRule="auto"/>
        <w:ind w:firstLine="480"/>
        <w:rPr>
          <w:rFonts w:ascii="宋体" w:hAnsi="宋体"/>
          <w:sz w:val="24"/>
        </w:rPr>
      </w:pPr>
      <w:r>
        <w:rPr>
          <w:rFonts w:ascii="宋体" w:hAnsi="宋体"/>
          <w:sz w:val="24"/>
        </w:rPr>
        <w:t>2.8本比选项目采用资格后审的方式。</w:t>
      </w:r>
    </w:p>
    <w:p>
      <w:pPr>
        <w:spacing w:line="360" w:lineRule="auto"/>
        <w:ind w:firstLine="480"/>
        <w:rPr>
          <w:rFonts w:ascii="宋体" w:hAnsi="宋体"/>
          <w:sz w:val="24"/>
        </w:rPr>
      </w:pPr>
      <w:r>
        <w:rPr>
          <w:rFonts w:ascii="宋体" w:hAnsi="宋体"/>
          <w:sz w:val="24"/>
        </w:rPr>
        <w:t>注：凡不符合上述任一条件的服务机构，均不得参加比选活动。</w:t>
      </w:r>
    </w:p>
    <w:p>
      <w:pPr>
        <w:spacing w:line="360" w:lineRule="auto"/>
        <w:jc w:val="left"/>
        <w:rPr>
          <w:rFonts w:ascii="宋体" w:hAnsi="宋体"/>
          <w:b/>
          <w:sz w:val="24"/>
        </w:rPr>
      </w:pPr>
      <w:r>
        <w:rPr>
          <w:rFonts w:ascii="宋体" w:hAnsi="宋体"/>
          <w:b/>
          <w:sz w:val="24"/>
        </w:rPr>
        <w:t>三、报名时间及地点：</w:t>
      </w:r>
    </w:p>
    <w:p>
      <w:pPr>
        <w:spacing w:line="360" w:lineRule="auto"/>
        <w:ind w:firstLine="480"/>
        <w:rPr>
          <w:rFonts w:ascii="宋体" w:hAnsi="宋体"/>
          <w:b/>
          <w:sz w:val="24"/>
        </w:rPr>
      </w:pPr>
      <w:r>
        <w:rPr>
          <w:rFonts w:ascii="宋体" w:hAnsi="宋体"/>
          <w:sz w:val="24"/>
        </w:rPr>
        <w:t>比选文件获取：请于2022年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9</w:t>
      </w:r>
      <w:r>
        <w:rPr>
          <w:rFonts w:ascii="宋体" w:hAnsi="宋体"/>
          <w:sz w:val="24"/>
        </w:rPr>
        <w:t>日～2022年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12</w:t>
      </w:r>
      <w:r>
        <w:rPr>
          <w:rFonts w:ascii="宋体" w:hAnsi="宋体"/>
          <w:sz w:val="24"/>
        </w:rPr>
        <w:t>日，每天上午08:30～11：30，下午14:30～17：30（北京时间）到</w:t>
      </w:r>
      <w:r>
        <w:rPr>
          <w:rFonts w:ascii="宋体" w:hAnsi="宋体"/>
          <w:sz w:val="24"/>
          <w:u w:val="single"/>
        </w:rPr>
        <w:t>广东粤能工程管理有限公司（福建省漳州市芗城区胜利东路11号甘棠宫新村8幢1002室）</w:t>
      </w:r>
      <w:r>
        <w:rPr>
          <w:rFonts w:ascii="宋体" w:hAnsi="宋体"/>
          <w:sz w:val="24"/>
        </w:rPr>
        <w:t>进行报名并领取比选文件等相关资料。</w:t>
      </w:r>
    </w:p>
    <w:p>
      <w:pPr>
        <w:spacing w:line="360" w:lineRule="auto"/>
        <w:jc w:val="left"/>
        <w:rPr>
          <w:rFonts w:ascii="宋体" w:hAnsi="宋体"/>
          <w:b/>
          <w:sz w:val="24"/>
        </w:rPr>
      </w:pPr>
      <w:r>
        <w:rPr>
          <w:rFonts w:ascii="宋体" w:hAnsi="宋体"/>
          <w:b/>
          <w:sz w:val="24"/>
        </w:rPr>
        <w:t>四、比选时间及地点</w:t>
      </w:r>
    </w:p>
    <w:p>
      <w:pPr>
        <w:spacing w:line="360" w:lineRule="auto"/>
        <w:ind w:firstLine="480"/>
        <w:rPr>
          <w:rFonts w:ascii="宋体" w:hAnsi="宋体"/>
          <w:sz w:val="24"/>
        </w:rPr>
      </w:pPr>
      <w:r>
        <w:rPr>
          <w:rFonts w:ascii="宋体" w:hAnsi="宋体"/>
          <w:sz w:val="24"/>
        </w:rPr>
        <w:t>4.1比选时间：北京时间2022年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13</w:t>
      </w:r>
      <w:r>
        <w:rPr>
          <w:rFonts w:ascii="宋体" w:hAnsi="宋体"/>
          <w:sz w:val="24"/>
        </w:rPr>
        <w:t>日</w:t>
      </w:r>
      <w:r>
        <w:rPr>
          <w:rFonts w:hint="eastAsia" w:ascii="宋体" w:hAnsi="宋体"/>
          <w:sz w:val="24"/>
          <w:lang w:val="en-US" w:eastAsia="zh-CN"/>
        </w:rPr>
        <w:t>9</w:t>
      </w:r>
      <w:r>
        <w:rPr>
          <w:rFonts w:ascii="宋体" w:hAnsi="宋体"/>
          <w:sz w:val="24"/>
        </w:rPr>
        <w:t>：30；</w:t>
      </w:r>
    </w:p>
    <w:p>
      <w:pPr>
        <w:spacing w:line="360" w:lineRule="auto"/>
        <w:ind w:firstLine="480"/>
        <w:rPr>
          <w:rFonts w:ascii="宋体" w:hAnsi="宋体"/>
          <w:sz w:val="24"/>
        </w:rPr>
      </w:pPr>
      <w:r>
        <w:rPr>
          <w:rFonts w:ascii="宋体" w:hAnsi="宋体"/>
          <w:sz w:val="24"/>
        </w:rPr>
        <w:t>4.2比选地点：</w:t>
      </w:r>
      <w:r>
        <w:rPr>
          <w:rFonts w:ascii="宋体" w:hAnsi="宋体"/>
          <w:sz w:val="24"/>
          <w:u w:val="single"/>
        </w:rPr>
        <w:t>广东粤能工程管理有限公司开标室（福建省漳州市芗城区胜利东路11号甘棠宫新村8幢1002室）</w:t>
      </w:r>
      <w:r>
        <w:rPr>
          <w:rFonts w:ascii="宋体" w:hAnsi="宋体"/>
          <w:sz w:val="24"/>
        </w:rPr>
        <w:t>；</w:t>
      </w:r>
    </w:p>
    <w:p>
      <w:pPr>
        <w:spacing w:line="360" w:lineRule="auto"/>
        <w:ind w:firstLine="480"/>
        <w:jc w:val="left"/>
        <w:rPr>
          <w:rFonts w:ascii="宋体" w:hAnsi="宋体"/>
          <w:sz w:val="24"/>
        </w:rPr>
      </w:pPr>
      <w:r>
        <w:rPr>
          <w:rFonts w:ascii="宋体" w:hAnsi="宋体"/>
          <w:sz w:val="24"/>
        </w:rPr>
        <w:t>4.3递交比选申请书截止时间：北京时间2022年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13</w:t>
      </w:r>
      <w:r>
        <w:rPr>
          <w:rFonts w:ascii="宋体" w:hAnsi="宋体"/>
          <w:sz w:val="24"/>
        </w:rPr>
        <w:t>日</w:t>
      </w:r>
      <w:r>
        <w:rPr>
          <w:rFonts w:hint="eastAsia" w:ascii="宋体" w:hAnsi="宋体"/>
          <w:sz w:val="24"/>
          <w:lang w:val="en-US" w:eastAsia="zh-CN"/>
        </w:rPr>
        <w:t>9</w:t>
      </w:r>
      <w:r>
        <w:rPr>
          <w:rFonts w:ascii="宋体" w:hAnsi="宋体"/>
          <w:sz w:val="24"/>
        </w:rPr>
        <w:t>：30 ，逾期递交的比选申请书，比选人将不予接收。</w:t>
      </w:r>
    </w:p>
    <w:p>
      <w:pPr>
        <w:spacing w:line="360" w:lineRule="auto"/>
        <w:rPr>
          <w:rFonts w:ascii="宋体" w:hAnsi="宋体"/>
          <w:sz w:val="24"/>
        </w:rPr>
      </w:pPr>
      <w:r>
        <w:rPr>
          <w:rFonts w:ascii="宋体" w:hAnsi="宋体"/>
          <w:b/>
          <w:sz w:val="24"/>
        </w:rPr>
        <w:t>五、比选办法：</w:t>
      </w:r>
      <w:r>
        <w:rPr>
          <w:rFonts w:ascii="宋体" w:hAnsi="宋体"/>
          <w:sz w:val="24"/>
        </w:rPr>
        <w:t>采用最低价中选法。</w:t>
      </w:r>
    </w:p>
    <w:p>
      <w:pPr>
        <w:spacing w:line="360" w:lineRule="auto"/>
        <w:rPr>
          <w:rFonts w:ascii="宋体" w:hAnsi="宋体"/>
          <w:b/>
          <w:sz w:val="24"/>
        </w:rPr>
      </w:pPr>
      <w:r>
        <w:rPr>
          <w:rFonts w:ascii="宋体" w:hAnsi="宋体"/>
          <w:b/>
          <w:sz w:val="24"/>
        </w:rPr>
        <w:t>六、比选费用</w:t>
      </w:r>
    </w:p>
    <w:p>
      <w:pPr>
        <w:spacing w:line="360" w:lineRule="auto"/>
        <w:ind w:firstLine="482"/>
        <w:rPr>
          <w:rFonts w:ascii="宋体" w:hAnsi="宋体"/>
          <w:b/>
          <w:sz w:val="24"/>
        </w:rPr>
      </w:pPr>
      <w:r>
        <w:rPr>
          <w:rFonts w:ascii="宋体" w:hAnsi="宋体"/>
          <w:b/>
          <w:sz w:val="24"/>
        </w:rPr>
        <w:t>6.1服务费</w:t>
      </w:r>
    </w:p>
    <w:p>
      <w:pPr>
        <w:spacing w:line="360" w:lineRule="auto"/>
        <w:ind w:firstLine="480"/>
        <w:rPr>
          <w:rFonts w:ascii="宋体" w:hAnsi="宋体"/>
          <w:sz w:val="24"/>
        </w:rPr>
      </w:pPr>
      <w:r>
        <w:rPr>
          <w:rFonts w:ascii="宋体" w:hAnsi="宋体"/>
          <w:color w:val="FF0000"/>
          <w:sz w:val="24"/>
        </w:rPr>
        <w:t>本项目</w:t>
      </w:r>
      <w:r>
        <w:rPr>
          <w:rFonts w:hint="eastAsia" w:ascii="宋体" w:hAnsi="宋体"/>
          <w:color w:val="FF0000"/>
          <w:sz w:val="24"/>
        </w:rPr>
        <w:t>年度设计服务费</w:t>
      </w:r>
      <w:r>
        <w:rPr>
          <w:rFonts w:ascii="宋体" w:hAnsi="宋体"/>
          <w:color w:val="FF0000"/>
          <w:sz w:val="24"/>
        </w:rPr>
        <w:t>为完成</w:t>
      </w:r>
      <w:r>
        <w:rPr>
          <w:rFonts w:hint="eastAsia" w:ascii="宋体" w:hAnsi="宋体"/>
          <w:color w:val="FF0000"/>
          <w:sz w:val="24"/>
        </w:rPr>
        <w:t>片仔癀年度小散工程设计</w:t>
      </w:r>
      <w:r>
        <w:rPr>
          <w:rFonts w:ascii="宋体" w:hAnsi="宋体"/>
          <w:color w:val="FF0000"/>
          <w:sz w:val="24"/>
        </w:rPr>
        <w:t>工作所产生的所有费用。本项目</w:t>
      </w:r>
      <w:r>
        <w:rPr>
          <w:rFonts w:hint="eastAsia" w:ascii="宋体" w:hAnsi="宋体"/>
          <w:color w:val="FF0000"/>
          <w:sz w:val="24"/>
        </w:rPr>
        <w:t>年度设计服务费最高限价为：依据《工程勘察设计收费管理规定》计价格[2002]10号取费标准下浮20%，年度设计服务费暂按16.6464万元计取。</w:t>
      </w:r>
      <w:r>
        <w:rPr>
          <w:rFonts w:hint="eastAsia" w:ascii="宋体" w:hAnsi="宋体"/>
          <w:sz w:val="24"/>
        </w:rPr>
        <w:t>费用包括但不限于方案设计、扩初及深化设计、施工图设计、设计修改、施工阶段配合服务、配合其他专业的设计服务、交通、基础资料收集费、差旅费、内部咨询费、设计费、最终设计方案和施工图纸的资料图册费及可能发生的各种伴随服务准备费、成果资料费（书面版与电子版）、企业管理费用、利润、行政规费等及其他一切相关伴随服务的费用，中选后不再增补任何费用。</w:t>
      </w:r>
    </w:p>
    <w:p>
      <w:pPr>
        <w:spacing w:line="360" w:lineRule="auto"/>
        <w:ind w:firstLine="480"/>
        <w:rPr>
          <w:rFonts w:ascii="宋体" w:hAnsi="宋体"/>
          <w:color w:val="0000FF"/>
          <w:sz w:val="24"/>
        </w:rPr>
      </w:pPr>
      <w:r>
        <w:rPr>
          <w:rFonts w:hint="eastAsia" w:ascii="宋体" w:hAnsi="宋体"/>
          <w:color w:val="0000FF"/>
          <w:sz w:val="24"/>
        </w:rPr>
        <w:t>最终设计费按年度结算，各小散工程设计费结算根据项目实际结算总价做为计费额，采用直线内插法确定工程设计收费基价。结算时中选人需提供各子项目工程设计费结算单（结算单需经业主方项目经办人确认，子项目施工结算额如低于50000元，设计费按2000元计取，子项目施工结算额如高于50000元，则设计费按实计取），等额正式发票及完整申请手续。</w:t>
      </w:r>
    </w:p>
    <w:p>
      <w:pPr>
        <w:spacing w:line="360" w:lineRule="auto"/>
        <w:ind w:firstLine="480"/>
        <w:rPr>
          <w:rFonts w:ascii="宋体" w:hAnsi="宋体"/>
          <w:sz w:val="24"/>
        </w:rPr>
      </w:pPr>
      <w:r>
        <w:rPr>
          <w:rFonts w:ascii="宋体" w:hAnsi="宋体"/>
          <w:sz w:val="24"/>
        </w:rPr>
        <w:t>比选申请人自行报价，报价不得超出最高控制价，否则视为无效比选文件。合同履行期间，</w:t>
      </w:r>
      <w:r>
        <w:rPr>
          <w:rFonts w:hint="eastAsia" w:ascii="宋体" w:hAnsi="宋体"/>
          <w:sz w:val="24"/>
        </w:rPr>
        <w:t>取费标准、系数及下浮率等</w:t>
      </w:r>
      <w:r>
        <w:rPr>
          <w:rFonts w:ascii="宋体" w:hAnsi="宋体"/>
          <w:sz w:val="24"/>
        </w:rPr>
        <w:t>不随国家政策、法律、法规、标准及市场因素的变化而进行调整。比选申请人参与本项目比选时，视为已充分考虑到本项目的实际工作量、技术含量、难易程度、复杂性等各项因素，接受并将风险费用计入参选报价中，中选后，比选人不再另行计价或补偿。</w:t>
      </w:r>
    </w:p>
    <w:p>
      <w:pPr>
        <w:spacing w:line="360" w:lineRule="auto"/>
        <w:ind w:firstLine="482"/>
        <w:rPr>
          <w:rFonts w:ascii="宋体" w:hAnsi="宋体"/>
          <w:b/>
          <w:sz w:val="24"/>
        </w:rPr>
      </w:pPr>
      <w:r>
        <w:rPr>
          <w:rFonts w:ascii="宋体" w:hAnsi="宋体"/>
          <w:b/>
          <w:sz w:val="24"/>
        </w:rPr>
        <w:t>6.2比选保证金：</w:t>
      </w:r>
    </w:p>
    <w:p>
      <w:pPr>
        <w:spacing w:line="360" w:lineRule="auto"/>
        <w:ind w:firstLine="480"/>
        <w:rPr>
          <w:rFonts w:ascii="宋体" w:hAnsi="宋体"/>
          <w:sz w:val="24"/>
        </w:rPr>
      </w:pPr>
      <w:r>
        <w:rPr>
          <w:rFonts w:hint="eastAsia" w:ascii="宋体" w:hAnsi="宋体"/>
          <w:sz w:val="24"/>
        </w:rPr>
        <w:t>1、</w:t>
      </w:r>
      <w:r>
        <w:rPr>
          <w:rFonts w:ascii="宋体" w:hAnsi="宋体"/>
          <w:sz w:val="24"/>
        </w:rPr>
        <w:t>比选保证金的金额：</w:t>
      </w:r>
      <w:r>
        <w:rPr>
          <w:rFonts w:ascii="宋体" w:hAnsi="宋体"/>
          <w:b/>
          <w:color w:val="0000FF"/>
          <w:sz w:val="24"/>
        </w:rPr>
        <w:t>人民币</w:t>
      </w:r>
      <w:r>
        <w:rPr>
          <w:rFonts w:hint="eastAsia" w:ascii="宋体" w:hAnsi="宋体"/>
          <w:b/>
          <w:color w:val="0000FF"/>
          <w:sz w:val="24"/>
        </w:rPr>
        <w:t>叁仟</w:t>
      </w:r>
      <w:r>
        <w:rPr>
          <w:rFonts w:ascii="宋体" w:hAnsi="宋体"/>
          <w:b/>
          <w:color w:val="0000FF"/>
          <w:sz w:val="24"/>
        </w:rPr>
        <w:t>元整（¥</w:t>
      </w:r>
      <w:r>
        <w:rPr>
          <w:rFonts w:hint="eastAsia" w:ascii="宋体" w:hAnsi="宋体"/>
          <w:b/>
          <w:color w:val="0000FF"/>
          <w:sz w:val="24"/>
        </w:rPr>
        <w:t>3</w:t>
      </w:r>
      <w:r>
        <w:rPr>
          <w:rFonts w:ascii="宋体" w:hAnsi="宋体"/>
          <w:b/>
          <w:color w:val="0000FF"/>
          <w:sz w:val="24"/>
        </w:rPr>
        <w:t>000.00元）</w:t>
      </w:r>
      <w:r>
        <w:rPr>
          <w:rFonts w:ascii="宋体" w:hAnsi="宋体"/>
          <w:sz w:val="24"/>
        </w:rPr>
        <w:t>；</w:t>
      </w:r>
    </w:p>
    <w:p>
      <w:pPr>
        <w:spacing w:line="360" w:lineRule="auto"/>
        <w:ind w:firstLine="480"/>
        <w:rPr>
          <w:rFonts w:ascii="宋体" w:hAnsi="宋体"/>
          <w:sz w:val="24"/>
        </w:rPr>
      </w:pPr>
      <w:r>
        <w:rPr>
          <w:rFonts w:hint="eastAsia" w:ascii="宋体" w:hAnsi="宋体"/>
          <w:sz w:val="24"/>
        </w:rPr>
        <w:t>2、比选保证金形式：</w:t>
      </w:r>
      <w:r>
        <w:rPr>
          <w:rFonts w:hint="eastAsia" w:ascii="宋体" w:hAnsi="宋体"/>
          <w:color w:val="0000FF"/>
          <w:sz w:val="24"/>
        </w:rPr>
        <w:t>递交比选申请书时以现金形式缴纳（用信封密封并加盖单位公章，封面上须写明比选申请人名称、项目名称及金额）。中选人以外的保证金将当场退还，中选人的比选保证金在签订合同后退还。中选人未按规定签订合同，比选人有权不退还比选保证金，并要求其赔偿因此造成的损失</w:t>
      </w:r>
      <w:r>
        <w:rPr>
          <w:rFonts w:hint="eastAsia" w:ascii="宋体" w:hAnsi="宋体"/>
          <w:sz w:val="24"/>
        </w:rPr>
        <w:t>。</w:t>
      </w:r>
    </w:p>
    <w:p>
      <w:pPr>
        <w:spacing w:line="360" w:lineRule="auto"/>
        <w:ind w:firstLine="480"/>
        <w:rPr>
          <w:rFonts w:ascii="宋体" w:hAnsi="宋体"/>
          <w:sz w:val="24"/>
        </w:rPr>
      </w:pPr>
      <w:r>
        <w:rPr>
          <w:rFonts w:hint="eastAsia" w:ascii="宋体" w:hAnsi="宋体"/>
          <w:sz w:val="24"/>
        </w:rPr>
        <w:t>3、比选保证金有效期：</w:t>
      </w:r>
      <w:bookmarkStart w:id="0" w:name="EB8aee83694cf24e958b0c044730ba83a0"/>
      <w:r>
        <w:rPr>
          <w:rFonts w:hint="eastAsia" w:ascii="宋体" w:hAnsi="宋体"/>
          <w:color w:val="0000FF"/>
          <w:sz w:val="24"/>
        </w:rPr>
        <w:t>与比选有效期一致，本项目比选有效期为9</w:t>
      </w:r>
      <w:r>
        <w:rPr>
          <w:rFonts w:ascii="宋体" w:hAnsi="宋体"/>
          <w:color w:val="0000FF"/>
          <w:sz w:val="24"/>
        </w:rPr>
        <w:t>0</w:t>
      </w:r>
      <w:r>
        <w:rPr>
          <w:rFonts w:hint="eastAsia" w:ascii="宋体" w:hAnsi="宋体"/>
          <w:color w:val="0000FF"/>
          <w:sz w:val="24"/>
        </w:rPr>
        <w:t>日历天</w:t>
      </w:r>
      <w:r>
        <w:rPr>
          <w:rFonts w:hint="eastAsia" w:ascii="宋体" w:hAnsi="宋体"/>
          <w:sz w:val="24"/>
        </w:rPr>
        <w:t>。</w:t>
      </w:r>
      <w:bookmarkEnd w:id="0"/>
    </w:p>
    <w:p>
      <w:pPr>
        <w:spacing w:line="360" w:lineRule="auto"/>
        <w:rPr>
          <w:rFonts w:ascii="宋体" w:hAnsi="宋体"/>
          <w:b/>
          <w:sz w:val="24"/>
        </w:rPr>
      </w:pPr>
      <w:r>
        <w:rPr>
          <w:rFonts w:ascii="宋体" w:hAnsi="宋体"/>
          <w:b/>
          <w:sz w:val="24"/>
        </w:rPr>
        <w:t>七、公示</w:t>
      </w:r>
    </w:p>
    <w:p>
      <w:pPr>
        <w:spacing w:line="360" w:lineRule="auto"/>
        <w:ind w:firstLine="480" w:firstLineChars="200"/>
        <w:rPr>
          <w:rFonts w:ascii="宋体" w:hAnsi="宋体"/>
          <w:sz w:val="24"/>
        </w:rPr>
      </w:pPr>
      <w:r>
        <w:rPr>
          <w:rFonts w:ascii="宋体" w:hAnsi="宋体"/>
          <w:sz w:val="24"/>
        </w:rPr>
        <w:t>本次比选结果公示</w:t>
      </w:r>
      <w:r>
        <w:rPr>
          <w:rFonts w:hint="eastAsia" w:ascii="宋体" w:hAnsi="宋体"/>
          <w:sz w:val="24"/>
        </w:rPr>
        <w:t>在</w:t>
      </w:r>
      <w:r>
        <w:rPr>
          <w:rFonts w:hint="eastAsia" w:ascii="宋体" w:hAnsi="宋体"/>
          <w:color w:val="FF0000"/>
          <w:sz w:val="24"/>
        </w:rPr>
        <w:t>片仔癀官网（http://www.zzpzh.com）招采平台</w:t>
      </w:r>
      <w:r>
        <w:rPr>
          <w:rFonts w:hint="eastAsia" w:ascii="宋体" w:hAnsi="宋体"/>
          <w:sz w:val="24"/>
        </w:rPr>
        <w:t>上</w:t>
      </w:r>
      <w:r>
        <w:fldChar w:fldCharType="begin"/>
      </w:r>
      <w:r>
        <w:instrText xml:space="preserve"> HYPERLINK "http://www.zzgjgxq.gov.cn/）发布。公示时间3" \h </w:instrText>
      </w:r>
      <w:r>
        <w:fldChar w:fldCharType="separate"/>
      </w:r>
      <w:r>
        <w:rPr>
          <w:rFonts w:hint="eastAsia" w:ascii="宋体" w:hAnsi="宋体"/>
          <w:color w:val="0000FF"/>
          <w:sz w:val="24"/>
        </w:rPr>
        <w:t>发布，公示时间3</w:t>
      </w:r>
      <w:r>
        <w:rPr>
          <w:rFonts w:hint="eastAsia" w:ascii="宋体" w:hAnsi="宋体"/>
          <w:color w:val="0000FF"/>
          <w:sz w:val="24"/>
        </w:rPr>
        <w:fldChar w:fldCharType="end"/>
      </w:r>
      <w:r>
        <w:rPr>
          <w:rFonts w:hint="eastAsia" w:ascii="宋体" w:hAnsi="宋体"/>
          <w:color w:val="0000FF"/>
          <w:sz w:val="24"/>
        </w:rPr>
        <w:t>个日历天</w:t>
      </w:r>
      <w:r>
        <w:rPr>
          <w:rFonts w:hint="eastAsia" w:ascii="宋体" w:hAnsi="宋体"/>
          <w:sz w:val="24"/>
        </w:rPr>
        <w:t>。</w:t>
      </w:r>
    </w:p>
    <w:p>
      <w:pPr>
        <w:spacing w:line="360" w:lineRule="auto"/>
        <w:rPr>
          <w:rFonts w:ascii="宋体" w:hAnsi="宋体"/>
          <w:b/>
          <w:sz w:val="24"/>
        </w:rPr>
      </w:pPr>
      <w:r>
        <w:rPr>
          <w:rFonts w:ascii="宋体" w:hAnsi="宋体"/>
          <w:b/>
          <w:sz w:val="24"/>
        </w:rPr>
        <w:t>八、联系方式：</w:t>
      </w:r>
    </w:p>
    <w:p>
      <w:pPr>
        <w:spacing w:line="360" w:lineRule="auto"/>
        <w:ind w:firstLine="480"/>
        <w:jc w:val="left"/>
        <w:rPr>
          <w:rFonts w:ascii="宋体" w:hAnsi="宋体"/>
          <w:sz w:val="24"/>
        </w:rPr>
      </w:pPr>
      <w:r>
        <w:rPr>
          <w:rFonts w:ascii="宋体" w:hAnsi="宋体"/>
          <w:sz w:val="24"/>
        </w:rPr>
        <w:t>比选人：</w:t>
      </w:r>
      <w:r>
        <w:rPr>
          <w:rFonts w:hint="eastAsia" w:ascii="宋体" w:hAnsi="宋体"/>
          <w:sz w:val="24"/>
        </w:rPr>
        <w:t>漳州片仔癀药业股份有限公司</w:t>
      </w:r>
    </w:p>
    <w:p>
      <w:pPr>
        <w:spacing w:line="360" w:lineRule="auto"/>
        <w:ind w:firstLine="480"/>
        <w:jc w:val="left"/>
        <w:rPr>
          <w:rFonts w:ascii="宋体" w:hAnsi="宋体"/>
          <w:sz w:val="24"/>
        </w:rPr>
      </w:pPr>
      <w:r>
        <w:rPr>
          <w:rFonts w:ascii="宋体" w:hAnsi="宋体"/>
          <w:sz w:val="24"/>
        </w:rPr>
        <w:t>地址：</w:t>
      </w:r>
      <w:r>
        <w:rPr>
          <w:rFonts w:hint="eastAsia" w:ascii="宋体" w:hAnsi="宋体"/>
          <w:sz w:val="24"/>
        </w:rPr>
        <w:t>福建省漳州市芗城区琥珀路1号</w:t>
      </w:r>
      <w:r>
        <w:rPr>
          <w:rFonts w:ascii="宋体" w:hAnsi="宋体"/>
          <w:sz w:val="24"/>
        </w:rPr>
        <w:t xml:space="preserve"> </w:t>
      </w:r>
    </w:p>
    <w:p>
      <w:pPr>
        <w:spacing w:line="360" w:lineRule="auto"/>
        <w:ind w:firstLine="480"/>
        <w:rPr>
          <w:rFonts w:ascii="宋体" w:hAnsi="宋体"/>
          <w:sz w:val="24"/>
        </w:rPr>
      </w:pPr>
      <w:r>
        <w:rPr>
          <w:rFonts w:ascii="宋体" w:hAnsi="宋体"/>
          <w:sz w:val="24"/>
        </w:rPr>
        <w:t>联系人：</w:t>
      </w:r>
      <w:r>
        <w:rPr>
          <w:rFonts w:hint="eastAsia" w:ascii="宋体" w:hAnsi="宋体"/>
          <w:sz w:val="24"/>
        </w:rPr>
        <w:t>叶工</w:t>
      </w:r>
      <w:r>
        <w:rPr>
          <w:rFonts w:ascii="宋体" w:hAnsi="宋体"/>
          <w:sz w:val="24"/>
        </w:rPr>
        <w:t xml:space="preserve"> </w:t>
      </w:r>
    </w:p>
    <w:p>
      <w:pPr>
        <w:spacing w:line="360" w:lineRule="auto"/>
        <w:ind w:firstLine="480"/>
        <w:rPr>
          <w:rFonts w:ascii="宋体" w:hAnsi="宋体"/>
          <w:sz w:val="24"/>
        </w:rPr>
      </w:pPr>
      <w:r>
        <w:rPr>
          <w:rFonts w:ascii="宋体" w:hAnsi="宋体"/>
          <w:sz w:val="24"/>
        </w:rPr>
        <w:t>联系电话：</w:t>
      </w:r>
      <w:r>
        <w:rPr>
          <w:rFonts w:hint="eastAsia" w:ascii="宋体" w:hAnsi="宋体"/>
          <w:sz w:val="24"/>
        </w:rPr>
        <w:t>0596-2301552</w:t>
      </w:r>
    </w:p>
    <w:p>
      <w:pPr>
        <w:ind w:firstLine="420"/>
        <w:rPr>
          <w:rFonts w:ascii="宋体" w:hAnsi="宋体"/>
          <w:sz w:val="24"/>
        </w:rPr>
      </w:pPr>
    </w:p>
    <w:p>
      <w:pPr>
        <w:spacing w:line="360" w:lineRule="auto"/>
        <w:ind w:firstLine="480"/>
        <w:rPr>
          <w:rFonts w:ascii="宋体" w:hAnsi="宋体"/>
          <w:sz w:val="24"/>
        </w:rPr>
      </w:pPr>
      <w:r>
        <w:rPr>
          <w:rFonts w:ascii="宋体" w:hAnsi="宋体"/>
          <w:sz w:val="24"/>
        </w:rPr>
        <w:t>代理机构：广东粤能工程管理有限公司</w:t>
      </w:r>
    </w:p>
    <w:p>
      <w:pPr>
        <w:spacing w:line="360" w:lineRule="auto"/>
        <w:ind w:firstLine="480"/>
        <w:rPr>
          <w:rFonts w:ascii="宋体" w:hAnsi="宋体"/>
          <w:sz w:val="24"/>
        </w:rPr>
      </w:pPr>
      <w:r>
        <w:rPr>
          <w:rFonts w:ascii="宋体" w:hAnsi="宋体"/>
          <w:sz w:val="24"/>
        </w:rPr>
        <w:t>地址：福建省漳州市芗城区胜利东路11号甘棠宫新村8幢1002室</w:t>
      </w:r>
    </w:p>
    <w:p>
      <w:pPr>
        <w:spacing w:line="360" w:lineRule="auto"/>
        <w:ind w:firstLine="480"/>
        <w:rPr>
          <w:rFonts w:ascii="宋体" w:hAnsi="宋体"/>
          <w:sz w:val="24"/>
        </w:rPr>
      </w:pPr>
      <w:r>
        <w:rPr>
          <w:rFonts w:ascii="宋体" w:hAnsi="宋体"/>
          <w:sz w:val="24"/>
        </w:rPr>
        <w:t>联系人：小许</w:t>
      </w:r>
    </w:p>
    <w:p>
      <w:pPr>
        <w:spacing w:line="360" w:lineRule="auto"/>
        <w:ind w:firstLine="480"/>
        <w:rPr>
          <w:rFonts w:hint="eastAsia" w:eastAsia="宋体"/>
          <w:lang w:val="en-US" w:eastAsia="zh-CN"/>
        </w:rPr>
      </w:pPr>
      <w:r>
        <w:rPr>
          <w:rFonts w:ascii="宋体" w:hAnsi="宋体"/>
          <w:sz w:val="24"/>
        </w:rPr>
        <w:t>联系电话：0596-210</w:t>
      </w:r>
      <w:bookmarkStart w:id="1" w:name="_GoBack"/>
      <w:bookmarkEnd w:id="1"/>
      <w:r>
        <w:rPr>
          <w:rFonts w:ascii="宋体" w:hAnsi="宋体"/>
          <w:sz w:val="24"/>
        </w:rPr>
        <w:t>97</w:t>
      </w:r>
      <w:r>
        <w:rPr>
          <w:rFonts w:hint="eastAsia" w:ascii="宋体" w:hAnsi="宋体"/>
          <w:sz w:val="24"/>
          <w:lang w:val="en-US" w:eastAsia="zh-CN"/>
        </w:rPr>
        <w:t>98</w:t>
      </w:r>
    </w:p>
    <w:sectPr>
      <w:footerReference r:id="rId5" w:type="default"/>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5ZmYxZGVkMTQ4MDNiZDQ3ZGFkOTU1MThmODdjMjAifQ=="/>
  </w:docVars>
  <w:rsids>
    <w:rsidRoot w:val="72121B65"/>
    <w:rsid w:val="005A1EA6"/>
    <w:rsid w:val="00FB4544"/>
    <w:rsid w:val="089E7DF6"/>
    <w:rsid w:val="13A17FAC"/>
    <w:rsid w:val="15F36160"/>
    <w:rsid w:val="37406E43"/>
    <w:rsid w:val="48822425"/>
    <w:rsid w:val="50326CAF"/>
    <w:rsid w:val="50A43DE1"/>
    <w:rsid w:val="522E2182"/>
    <w:rsid w:val="58D937C0"/>
    <w:rsid w:val="598B6C60"/>
    <w:rsid w:val="59A0095D"/>
    <w:rsid w:val="65B519A1"/>
    <w:rsid w:val="68E609F0"/>
    <w:rsid w:val="72121B65"/>
    <w:rsid w:val="74AA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3"/>
    <w:basedOn w:val="1"/>
    <w:next w:val="1"/>
    <w:qFormat/>
    <w:uiPriority w:val="0"/>
    <w:pPr>
      <w:keepNext/>
      <w:keepLines/>
      <w:spacing w:line="413" w:lineRule="auto"/>
      <w:outlineLvl w:val="2"/>
    </w:pPr>
    <w:rPr>
      <w:b/>
      <w:bCs/>
      <w:sz w:val="32"/>
      <w:szCs w:val="32"/>
    </w:rPr>
  </w:style>
  <w:style w:type="character" w:default="1" w:styleId="14">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next w:val="3"/>
    <w:qFormat/>
    <w:uiPriority w:val="0"/>
    <w:pPr>
      <w:widowControl/>
      <w:spacing w:beforeAutospacing="1" w:afterAutospacing="1"/>
      <w:jc w:val="left"/>
    </w:pPr>
    <w:rPr>
      <w:rFonts w:ascii="Arial Unicode MS" w:hAnsi="Arial Unicode MS" w:eastAsia="Arial Unicode MS" w:cs="Arial Unicode MS"/>
      <w:szCs w:val="24"/>
    </w:rPr>
  </w:style>
  <w:style w:type="paragraph" w:customStyle="1" w:styleId="3">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styleId="5">
    <w:name w:val="Normal Indent"/>
    <w:basedOn w:val="1"/>
    <w:next w:val="6"/>
    <w:qFormat/>
    <w:uiPriority w:val="0"/>
    <w:pPr>
      <w:ind w:firstLine="420" w:firstLineChars="200"/>
    </w:pPr>
  </w:style>
  <w:style w:type="paragraph" w:styleId="6">
    <w:name w:val="header"/>
    <w:basedOn w:val="1"/>
    <w:next w:val="5"/>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w:basedOn w:val="1"/>
    <w:qFormat/>
    <w:uiPriority w:val="0"/>
    <w:pPr>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Body Text First Indent 2"/>
    <w:basedOn w:val="7"/>
    <w:next w:val="10"/>
    <w:qFormat/>
    <w:uiPriority w:val="0"/>
    <w:pPr>
      <w:tabs>
        <w:tab w:val="left" w:pos="0"/>
        <w:tab w:val="left" w:pos="993"/>
        <w:tab w:val="left" w:pos="1134"/>
      </w:tabs>
      <w:ind w:firstLine="420" w:firstLineChars="200"/>
    </w:pPr>
  </w:style>
  <w:style w:type="paragraph" w:customStyle="1" w:styleId="10">
    <w:name w:val="样式 标题 3 + (中文) 黑体 小四 非加粗 段前: 7.8 磅 段后: 0 磅 行距: 固定值 20 磅_0"/>
    <w:basedOn w:val="11"/>
    <w:qFormat/>
    <w:uiPriority w:val="0"/>
    <w:pPr>
      <w:spacing w:before="0" w:after="0" w:line="400" w:lineRule="exact"/>
    </w:pPr>
    <w:rPr>
      <w:rFonts w:eastAsia="黑体" w:cs="宋体"/>
      <w:b w:val="0"/>
      <w:bCs w:val="0"/>
      <w:sz w:val="21"/>
      <w:szCs w:val="20"/>
    </w:rPr>
  </w:style>
  <w:style w:type="paragraph" w:customStyle="1" w:styleId="11">
    <w:name w:val="标题 3_0"/>
    <w:basedOn w:val="12"/>
    <w:next w:val="12"/>
    <w:unhideWhenUsed/>
    <w:qFormat/>
    <w:uiPriority w:val="99"/>
    <w:pPr>
      <w:keepNext/>
      <w:keepLines/>
      <w:spacing w:before="260" w:after="260" w:line="416" w:lineRule="auto"/>
      <w:outlineLvl w:val="2"/>
    </w:pPr>
    <w:rPr>
      <w:rFonts w:eastAsia="仿宋_GB2312"/>
      <w:b/>
      <w:bCs/>
      <w:sz w:val="32"/>
      <w:szCs w:val="32"/>
    </w:rPr>
  </w:style>
  <w:style w:type="paragraph" w:customStyle="1" w:styleId="12">
    <w:name w:val="正文_2"/>
    <w:basedOn w:val="13"/>
    <w:next w:val="9"/>
    <w:qFormat/>
    <w:uiPriority w:val="0"/>
    <w:rPr>
      <w:kern w:val="2"/>
      <w:sz w:val="21"/>
      <w:szCs w:val="22"/>
    </w:rPr>
  </w:style>
  <w:style w:type="paragraph" w:customStyle="1" w:styleId="13">
    <w:name w:val="正文_0"/>
    <w:next w:val="9"/>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styleId="15">
    <w:name w:val="annotation reference"/>
    <w:basedOn w:val="14"/>
    <w:qFormat/>
    <w:uiPriority w:val="99"/>
    <w:rPr>
      <w:sz w:val="21"/>
      <w:szCs w:val="21"/>
    </w:rPr>
  </w:style>
  <w:style w:type="paragraph" w:customStyle="1" w:styleId="17">
    <w:name w:val="正文_0_0_0"/>
    <w:basedOn w:val="18"/>
    <w:next w:val="25"/>
    <w:qFormat/>
    <w:uiPriority w:val="0"/>
    <w:rPr>
      <w:rFonts w:ascii="Calibri" w:hAnsi="Calibri"/>
      <w:szCs w:val="21"/>
    </w:rPr>
  </w:style>
  <w:style w:type="paragraph" w:customStyle="1" w:styleId="18">
    <w:name w:val="正文_1"/>
    <w:basedOn w:val="12"/>
    <w:next w:val="19"/>
    <w:qFormat/>
    <w:uiPriority w:val="0"/>
    <w:rPr>
      <w:szCs w:val="24"/>
    </w:rPr>
  </w:style>
  <w:style w:type="paragraph" w:customStyle="1" w:styleId="19">
    <w:name w:val="正文首行缩进 21"/>
    <w:basedOn w:val="20"/>
    <w:next w:val="24"/>
    <w:qFormat/>
    <w:uiPriority w:val="0"/>
    <w:pPr>
      <w:ind w:firstLine="420"/>
    </w:pPr>
  </w:style>
  <w:style w:type="paragraph" w:customStyle="1" w:styleId="20">
    <w:name w:val="正文文本缩进1"/>
    <w:basedOn w:val="21"/>
    <w:next w:val="22"/>
    <w:qFormat/>
    <w:uiPriority w:val="0"/>
    <w:pPr>
      <w:spacing w:after="120"/>
      <w:ind w:left="420" w:leftChars="200"/>
    </w:pPr>
    <w:rPr>
      <w:rFonts w:ascii="Times New Roman"/>
    </w:rPr>
  </w:style>
  <w:style w:type="paragraph" w:customStyle="1" w:styleId="21">
    <w:name w:val="正文1"/>
    <w:qFormat/>
    <w:uiPriority w:val="0"/>
    <w:pPr>
      <w:widowControl w:val="0"/>
      <w:adjustRightInd w:val="0"/>
      <w:spacing w:line="312" w:lineRule="atLeast"/>
      <w:ind w:firstLine="200" w:firstLineChars="200"/>
      <w:jc w:val="both"/>
    </w:pPr>
    <w:rPr>
      <w:rFonts w:ascii="宋体" w:hAnsi="Times New Roman" w:eastAsia="宋体" w:cs="Times New Roman"/>
      <w:sz w:val="34"/>
      <w:szCs w:val="22"/>
      <w:lang w:val="en-US" w:eastAsia="zh-CN" w:bidi="ar-SA"/>
    </w:rPr>
  </w:style>
  <w:style w:type="paragraph" w:customStyle="1" w:styleId="22">
    <w:name w:val="样式 标题 3 + (中文) 黑体 小四 非加粗 段前: 7.8 磅 段后: 0 磅 行距: 固定值 20 磅_0_0"/>
    <w:basedOn w:val="23"/>
    <w:qFormat/>
    <w:uiPriority w:val="0"/>
    <w:pPr>
      <w:spacing w:before="0" w:after="0" w:line="400" w:lineRule="exact"/>
    </w:pPr>
    <w:rPr>
      <w:rFonts w:eastAsia="黑体" w:cs="宋体"/>
      <w:b w:val="0"/>
      <w:bCs w:val="0"/>
      <w:sz w:val="21"/>
      <w:szCs w:val="20"/>
    </w:rPr>
  </w:style>
  <w:style w:type="paragraph" w:customStyle="1" w:styleId="23">
    <w:name w:val="标题 3_0_0"/>
    <w:basedOn w:val="12"/>
    <w:next w:val="12"/>
    <w:unhideWhenUsed/>
    <w:qFormat/>
    <w:uiPriority w:val="0"/>
    <w:pPr>
      <w:keepNext/>
      <w:keepLines/>
      <w:spacing w:before="260" w:after="260" w:line="416" w:lineRule="auto"/>
      <w:outlineLvl w:val="2"/>
    </w:pPr>
    <w:rPr>
      <w:b/>
      <w:bCs/>
      <w:sz w:val="32"/>
      <w:szCs w:val="32"/>
    </w:rPr>
  </w:style>
  <w:style w:type="paragraph" w:customStyle="1" w:styleId="24">
    <w:name w:val="样式 标题 3 + (中文) 黑体 小四 非加粗 段前: 7.8 磅 段后: 0 磅 行距: 固定值 20 磅_0_0_0"/>
    <w:basedOn w:val="23"/>
    <w:qFormat/>
    <w:uiPriority w:val="0"/>
  </w:style>
  <w:style w:type="paragraph" w:customStyle="1" w:styleId="25">
    <w:name w:val="正文缩进_0_0"/>
    <w:basedOn w:val="17"/>
    <w:next w:val="26"/>
    <w:qFormat/>
    <w:uiPriority w:val="0"/>
    <w:pPr>
      <w:ind w:firstLine="420"/>
    </w:pPr>
  </w:style>
  <w:style w:type="paragraph" w:customStyle="1" w:styleId="26">
    <w:name w:val="正文_0_0"/>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缩进_1"/>
    <w:basedOn w:val="28"/>
    <w:next w:val="29"/>
    <w:qFormat/>
    <w:uiPriority w:val="0"/>
    <w:pPr>
      <w:ind w:firstLine="420"/>
    </w:pPr>
  </w:style>
  <w:style w:type="paragraph" w:customStyle="1" w:styleId="28">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9">
    <w:name w:val="页眉_1"/>
    <w:basedOn w:val="18"/>
    <w:next w:val="27"/>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标题 4_0"/>
    <w:basedOn w:val="17"/>
    <w:next w:val="17"/>
    <w:semiHidden/>
    <w:qFormat/>
    <w:uiPriority w:val="0"/>
    <w:pPr>
      <w:keepNext/>
      <w:keepLines/>
      <w:spacing w:before="280" w:after="290" w:line="376" w:lineRule="atLeast"/>
      <w:outlineLvl w:val="3"/>
    </w:pPr>
    <w:rPr>
      <w:rFonts w:ascii="Arial" w:hAnsi="Arial" w:eastAsia="黑体"/>
      <w:b/>
      <w:bCs/>
      <w:kern w:val="0"/>
      <w:sz w:val="28"/>
      <w:szCs w:val="28"/>
    </w:rPr>
  </w:style>
  <w:style w:type="paragraph" w:customStyle="1" w:styleId="31">
    <w:name w:val="正文_0_1_0"/>
    <w:basedOn w:val="26"/>
    <w:qFormat/>
    <w:uiPriority w:val="0"/>
    <w:rPr>
      <w:rFonts w:ascii="Calibri" w:hAnsi="Calibri"/>
      <w:szCs w:val="21"/>
    </w:rPr>
  </w:style>
  <w:style w:type="paragraph" w:customStyle="1" w:styleId="32">
    <w:name w:val="正文缩进_0"/>
    <w:basedOn w:val="26"/>
    <w:next w:val="33"/>
    <w:semiHidden/>
    <w:qFormat/>
    <w:uiPriority w:val="0"/>
    <w:pPr>
      <w:adjustRightInd w:val="0"/>
      <w:spacing w:line="360" w:lineRule="atLeast"/>
      <w:ind w:firstLine="420"/>
    </w:pPr>
  </w:style>
  <w:style w:type="paragraph" w:customStyle="1" w:styleId="33">
    <w:name w:val="页眉_0"/>
    <w:basedOn w:val="26"/>
    <w:next w:val="32"/>
    <w:unhideWhenUsed/>
    <w:qFormat/>
    <w:uiPriority w:val="0"/>
    <w:pPr>
      <w:pBdr>
        <w:bottom w:val="single" w:color="auto" w:sz="6" w:space="1"/>
      </w:pBdr>
      <w:tabs>
        <w:tab w:val="center" w:pos="4153"/>
        <w:tab w:val="right" w:pos="8306"/>
      </w:tabs>
      <w:snapToGrid w:val="0"/>
      <w:jc w:val="center"/>
    </w:pPr>
    <w:rPr>
      <w:rFonts w:eastAsia="仿宋_GB2312"/>
      <w:kern w:val="0"/>
      <w:sz w:val="18"/>
      <w:szCs w:val="18"/>
    </w:rPr>
  </w:style>
  <w:style w:type="paragraph" w:customStyle="1" w:styleId="34">
    <w:name w:val="正文_1_1"/>
    <w:basedOn w:val="26"/>
    <w:qFormat/>
    <w:uiPriority w:val="0"/>
    <w:pPr>
      <w:adjustRightInd w:val="0"/>
      <w:spacing w:line="360" w:lineRule="atLeast"/>
    </w:pPr>
    <w:rPr>
      <w:rFonts w:eastAsia="仿宋_GB2312"/>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3538</Words>
  <Characters>20167</Characters>
  <Lines>168</Lines>
  <Paragraphs>47</Paragraphs>
  <TotalTime>6</TotalTime>
  <ScaleCrop>false</ScaleCrop>
  <LinksUpToDate>false</LinksUpToDate>
  <CharactersWithSpaces>23658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2022-12-05T08:42:00Z</dcterms:created>
  <dc:creator>夏之幻</dc:creator>
  <cp:lastModifiedBy>gcbsjb</cp:lastModifiedBy>
  <dcterms:modified xsi:type="dcterms:W3CDTF">2022-12-08T07:44:37Z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B10A8215DDE9471EB266AFBD3F3500C4</vt:lpwstr>
  </property>
</Properties>
</file>