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6</w:t>
      </w:r>
    </w:p>
    <w:p>
      <w:p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福建片仔癀健康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科技</w:t>
      </w:r>
      <w:r>
        <w:rPr>
          <w:rFonts w:hint="eastAsia" w:ascii="宋体" w:hAnsi="宋体" w:cs="宋体"/>
          <w:b/>
          <w:bCs/>
          <w:sz w:val="32"/>
          <w:szCs w:val="32"/>
        </w:rPr>
        <w:t>有限公司</w:t>
      </w:r>
    </w:p>
    <w:p>
      <w:p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4-2025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sz w:val="32"/>
          <w:szCs w:val="32"/>
        </w:rPr>
        <w:t>重要节日、节气海报设计</w:t>
      </w:r>
    </w:p>
    <w:p>
      <w:p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比选评分标准</w:t>
      </w:r>
    </w:p>
    <w:p>
      <w:pPr>
        <w:spacing w:line="520" w:lineRule="exact"/>
        <w:jc w:val="center"/>
        <w:rPr>
          <w:rFonts w:hint="eastAsia" w:ascii="宋体" w:hAnsi="宋体" w:cs="宋体"/>
          <w:b/>
          <w:bCs/>
          <w:szCs w:val="21"/>
        </w:rPr>
      </w:pPr>
    </w:p>
    <w:p>
      <w:pPr>
        <w:pStyle w:val="1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项目采用综合评分法，评分统计方法采用百分制（满分100分），将全部比选小组成员评分直接进行算术平均，小数点后保留2位。按评审后得分由高到低顺序排列，得分相同的，按报价由低到高顺序排列，得分且报价相同的，按项目运营方案优劣顺序排列，由比选小组确定成交供应商。</w:t>
      </w:r>
    </w:p>
    <w:p>
      <w:pPr>
        <w:tabs>
          <w:tab w:val="left" w:pos="0"/>
          <w:tab w:val="center" w:pos="210"/>
          <w:tab w:val="center" w:pos="420"/>
          <w:tab w:val="center" w:pos="630"/>
        </w:tabs>
        <w:spacing w:line="360" w:lineRule="auto"/>
        <w:jc w:val="center"/>
        <w:outlineLvl w:val="2"/>
        <w:rPr>
          <w:rFonts w:hint="eastAsia" w:ascii="宋体" w:hAnsi="宋体" w:cs="宋体"/>
          <w:b/>
          <w:sz w:val="24"/>
        </w:rPr>
      </w:pPr>
    </w:p>
    <w:p>
      <w:pPr>
        <w:tabs>
          <w:tab w:val="left" w:pos="0"/>
          <w:tab w:val="center" w:pos="210"/>
          <w:tab w:val="center" w:pos="420"/>
          <w:tab w:val="center" w:pos="630"/>
        </w:tabs>
        <w:spacing w:line="360" w:lineRule="auto"/>
        <w:jc w:val="center"/>
        <w:outlineLvl w:val="2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商务评估表</w:t>
      </w:r>
    </w:p>
    <w:p>
      <w:pPr>
        <w:tabs>
          <w:tab w:val="left" w:pos="0"/>
          <w:tab w:val="center" w:pos="210"/>
          <w:tab w:val="center" w:pos="420"/>
          <w:tab w:val="center" w:pos="630"/>
        </w:tabs>
        <w:spacing w:line="360" w:lineRule="auto"/>
        <w:jc w:val="center"/>
        <w:outlineLvl w:val="2"/>
        <w:rPr>
          <w:rFonts w:hint="eastAsia" w:ascii="宋体" w:hAnsi="宋体" w:cs="宋体"/>
          <w:b/>
          <w:sz w:val="28"/>
          <w:szCs w:val="28"/>
        </w:rPr>
      </w:pPr>
    </w:p>
    <w:p>
      <w:pPr>
        <w:pStyle w:val="10"/>
        <w:ind w:firstLine="422"/>
        <w:rPr>
          <w:rFonts w:ascii="宋体" w:hAnsi="宋体" w:cs="宋体"/>
          <w:b/>
          <w:bCs/>
          <w:szCs w:val="21"/>
          <w:u w:val="single"/>
        </w:rPr>
      </w:pPr>
      <w:r>
        <w:rPr>
          <w:rFonts w:hint="eastAsia" w:ascii="宋体" w:hAnsi="宋体" w:cs="宋体"/>
          <w:b/>
          <w:bCs/>
          <w:szCs w:val="21"/>
        </w:rPr>
        <w:t>评分人：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b/>
          <w:bCs/>
          <w:szCs w:val="21"/>
        </w:rPr>
        <w:t xml:space="preserve">       被评单位：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b/>
          <w:bCs/>
          <w:szCs w:val="21"/>
        </w:rPr>
        <w:t xml:space="preserve">        日期：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     </w:t>
      </w:r>
    </w:p>
    <w:tbl>
      <w:tblPr>
        <w:tblStyle w:val="5"/>
        <w:tblW w:w="10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25"/>
        <w:gridCol w:w="720"/>
        <w:gridCol w:w="688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04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评分因素</w:t>
            </w:r>
          </w:p>
          <w:p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及权重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6885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04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  <w:t>公司资质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分</w:t>
            </w:r>
          </w:p>
        </w:tc>
        <w:tc>
          <w:tcPr>
            <w:tcW w:w="6885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cs="Tahoma"/>
                <w:b/>
                <w:bCs/>
                <w:color w:val="000000"/>
                <w:szCs w:val="21"/>
              </w:rPr>
              <w:t>注册资本（</w:t>
            </w:r>
            <w:r>
              <w:rPr>
                <w:rFonts w:hint="eastAsia" w:cs="Tahoma"/>
                <w:b/>
                <w:bCs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cs="Tahoma"/>
                <w:b/>
                <w:bCs/>
                <w:color w:val="000000"/>
                <w:szCs w:val="21"/>
              </w:rPr>
              <w:t>分）：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注册资本大于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2000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万元，得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分；大于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00万元小于等于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000万元得分3分；小于等于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00万元得2分。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704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履约能力</w:t>
            </w:r>
          </w:p>
          <w:p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%）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分</w:t>
            </w:r>
          </w:p>
        </w:tc>
        <w:tc>
          <w:tcPr>
            <w:tcW w:w="6885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对外合作业绩（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分）：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参选方提供近三年以来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类似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合同案例。每提供一个合同（作）得2分，最高得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分。注：提供合同关键页复印件加盖公章，提供运维案例差，有充数嫌疑不得分。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5" w:hRule="atLeast"/>
        </w:trPr>
        <w:tc>
          <w:tcPr>
            <w:tcW w:w="704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项目运营</w:t>
            </w:r>
          </w:p>
          <w:p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0%）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0分</w:t>
            </w:r>
          </w:p>
        </w:tc>
        <w:tc>
          <w:tcPr>
            <w:tcW w:w="6885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1、设计创意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</w:rPr>
              <w:t>（2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</w:rPr>
              <w:t>分）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：</w:t>
            </w:r>
            <w:r>
              <w:rPr>
                <w:rFonts w:hint="eastAsia" w:ascii="Times New Roman" w:hAnsi="Times New Roman"/>
                <w:szCs w:val="21"/>
              </w:rPr>
              <w:t>符合现代审美需求，有较强视觉冲击力，绘图原创能力高。</w:t>
            </w:r>
          </w:p>
          <w:p>
            <w:pPr>
              <w:pStyle w:val="10"/>
              <w:spacing w:line="280" w:lineRule="exact"/>
              <w:ind w:firstLine="0" w:firstLineChars="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①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设计理念优秀，海报主题明确，内容积极向上，突出作品主题，具有时代感、表现力</w:t>
            </w:r>
            <w:r>
              <w:rPr>
                <w:rFonts w:hint="eastAsia" w:ascii="Times New Roman" w:hAnsi="Times New Roman"/>
                <w:szCs w:val="21"/>
              </w:rPr>
              <w:t>得2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分；</w:t>
            </w:r>
          </w:p>
          <w:p>
            <w:pPr>
              <w:pStyle w:val="10"/>
              <w:spacing w:line="280" w:lineRule="exact"/>
              <w:ind w:firstLine="0" w:firstLineChars="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②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海报有合理的层次，主题表达清楚，能准确的传达信息</w:t>
            </w:r>
            <w:r>
              <w:rPr>
                <w:rFonts w:hint="eastAsia" w:ascii="Times New Roman" w:hAnsi="Times New Roman"/>
                <w:szCs w:val="21"/>
              </w:rPr>
              <w:t>得15分；</w:t>
            </w:r>
          </w:p>
          <w:p>
            <w:pPr>
              <w:pStyle w:val="10"/>
              <w:spacing w:line="280" w:lineRule="exact"/>
              <w:ind w:firstLine="0" w:firstLineChars="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③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海报布局常规，缺乏创意</w:t>
            </w:r>
            <w:r>
              <w:rPr>
                <w:rFonts w:hint="eastAsia" w:ascii="Times New Roman" w:hAnsi="Times New Roman"/>
                <w:szCs w:val="21"/>
              </w:rPr>
              <w:t>得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分；</w:t>
            </w:r>
          </w:p>
          <w:p>
            <w:pPr>
              <w:pStyle w:val="10"/>
              <w:spacing w:line="280" w:lineRule="exact"/>
              <w:ind w:firstLine="0" w:firstLineChars="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④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海报</w:t>
            </w:r>
            <w:r>
              <w:rPr>
                <w:rFonts w:hint="eastAsia" w:ascii="Times New Roman" w:hAnsi="Times New Roman"/>
                <w:szCs w:val="21"/>
              </w:rPr>
              <w:t>不完整、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内容粗劣一般</w:t>
            </w:r>
            <w:r>
              <w:rPr>
                <w:rFonts w:hint="eastAsia" w:ascii="Times New Roman" w:hAnsi="Times New Roman"/>
                <w:szCs w:val="21"/>
              </w:rPr>
              <w:t>得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szCs w:val="21"/>
              </w:rPr>
              <w:t>分；</w:t>
            </w:r>
          </w:p>
          <w:p>
            <w:pPr>
              <w:pStyle w:val="10"/>
              <w:numPr>
                <w:ilvl w:val="0"/>
                <w:numId w:val="0"/>
              </w:numPr>
              <w:spacing w:line="280" w:lineRule="exact"/>
              <w:ind w:leftChars="0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2、结合程度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  <w:lang w:val="en-US" w:eastAsia="zh-CN"/>
              </w:rPr>
              <w:t>25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</w:rPr>
              <w:t>分）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：</w:t>
            </w:r>
          </w:p>
          <w:p>
            <w:pPr>
              <w:pStyle w:val="10"/>
              <w:numPr>
                <w:ilvl w:val="0"/>
                <w:numId w:val="0"/>
              </w:numPr>
              <w:spacing w:line="280" w:lineRule="exact"/>
              <w:ind w:leftChars="0"/>
              <w:rPr>
                <w:rFonts w:hint="eastAsia" w:ascii="Times New Roman" w:hAnsi="Times New Roman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szCs w:val="21"/>
                <w:lang w:val="zh-CN"/>
              </w:rPr>
              <w:t>①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结合度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高，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且能巧妙运用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视觉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效果与产品相结合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，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突出产品功效，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使读者有较强的传播意愿得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分；</w:t>
            </w:r>
          </w:p>
          <w:p>
            <w:pPr>
              <w:pStyle w:val="10"/>
              <w:numPr>
                <w:ilvl w:val="0"/>
                <w:numId w:val="0"/>
              </w:numPr>
              <w:spacing w:line="280" w:lineRule="exact"/>
              <w:ind w:leftChars="0"/>
              <w:rPr>
                <w:rFonts w:hint="eastAsia" w:ascii="Times New Roman" w:hAnsi="Times New Roman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szCs w:val="21"/>
                <w:lang w:val="zh-CN"/>
              </w:rPr>
              <w:t>②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合理结合产品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，但缺乏创新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度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得</w:t>
            </w: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分；</w:t>
            </w:r>
          </w:p>
          <w:p>
            <w:pPr>
              <w:pStyle w:val="10"/>
              <w:spacing w:line="280" w:lineRule="exact"/>
              <w:ind w:firstLine="0" w:firstLineChars="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zh-CN"/>
              </w:rPr>
              <w:t>③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结合度低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得</w:t>
            </w:r>
            <w:r>
              <w:rPr>
                <w:rFonts w:hint="eastAsia"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分。</w:t>
            </w:r>
          </w:p>
          <w:p>
            <w:pPr>
              <w:pStyle w:val="10"/>
              <w:numPr>
                <w:ilvl w:val="0"/>
                <w:numId w:val="0"/>
              </w:numPr>
              <w:spacing w:line="280" w:lineRule="exact"/>
              <w:ind w:leftChars="0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3、构图、配色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</w:rPr>
              <w:t>（1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</w:rPr>
              <w:t>分）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：</w:t>
            </w:r>
          </w:p>
          <w:p>
            <w:pPr>
              <w:pStyle w:val="10"/>
              <w:numPr>
                <w:ilvl w:val="0"/>
                <w:numId w:val="0"/>
              </w:numPr>
              <w:spacing w:line="280" w:lineRule="exact"/>
              <w:ind w:leftChars="0"/>
              <w:rPr>
                <w:rFonts w:hint="eastAsia" w:ascii="Times New Roman" w:hAnsi="Times New Roman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szCs w:val="21"/>
                <w:lang w:val="zh-CN"/>
              </w:rPr>
              <w:t>①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色彩搭配完善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，视觉配色舒畅，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具有美感、协调性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得</w:t>
            </w: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分；</w:t>
            </w:r>
          </w:p>
          <w:p>
            <w:pPr>
              <w:pStyle w:val="10"/>
              <w:numPr>
                <w:ilvl w:val="0"/>
                <w:numId w:val="0"/>
              </w:numPr>
              <w:spacing w:line="280" w:lineRule="exact"/>
              <w:ind w:left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zh-CN"/>
              </w:rPr>
              <w:t>②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画面合理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，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配色适中，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但缺乏创新感得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分。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line="520" w:lineRule="exact"/>
        <w:jc w:val="both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spacing w:line="520" w:lineRule="exact"/>
        <w:jc w:val="both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福建片仔癀健康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科技</w:t>
      </w:r>
      <w:r>
        <w:rPr>
          <w:rFonts w:hint="eastAsia" w:ascii="宋体" w:hAnsi="宋体" w:cs="宋体"/>
          <w:b/>
          <w:bCs/>
          <w:sz w:val="32"/>
          <w:szCs w:val="32"/>
        </w:rPr>
        <w:t>有限公司</w:t>
      </w:r>
    </w:p>
    <w:p>
      <w:p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4-2025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sz w:val="32"/>
          <w:szCs w:val="32"/>
        </w:rPr>
        <w:t>重要节日、节气海报设计</w:t>
      </w:r>
    </w:p>
    <w:p>
      <w:p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比选评分标准</w:t>
      </w:r>
    </w:p>
    <w:p>
      <w:p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10"/>
        <w:rPr>
          <w:rFonts w:hint="eastAsia" w:ascii="宋体" w:hAnsi="宋体" w:cs="宋体"/>
          <w:szCs w:val="21"/>
        </w:rPr>
      </w:pPr>
    </w:p>
    <w:p>
      <w:pPr>
        <w:pStyle w:val="1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本次</w:t>
      </w:r>
      <w:r>
        <w:rPr>
          <w:rFonts w:hint="eastAsia" w:ascii="宋体" w:hAnsi="宋体" w:cs="宋体"/>
          <w:szCs w:val="21"/>
          <w:lang w:val="en-US" w:eastAsia="zh-CN"/>
        </w:rPr>
        <w:t>海报设计</w:t>
      </w:r>
      <w:r>
        <w:rPr>
          <w:rFonts w:hint="eastAsia" w:ascii="宋体" w:hAnsi="宋体" w:cs="宋体"/>
          <w:szCs w:val="21"/>
        </w:rPr>
        <w:t>的单部报价最高限价为：</w:t>
      </w:r>
      <w:r>
        <w:rPr>
          <w:rFonts w:hint="eastAsia" w:ascii="宋体" w:hAnsi="宋体" w:cs="宋体"/>
          <w:szCs w:val="21"/>
          <w:highlight w:val="yellow"/>
          <w:lang w:val="en-US" w:eastAsia="zh-CN"/>
        </w:rPr>
        <w:t>13</w:t>
      </w:r>
      <w:r>
        <w:rPr>
          <w:rFonts w:hint="eastAsia" w:ascii="宋体" w:hAnsi="宋体" w:cs="宋体"/>
          <w:szCs w:val="21"/>
          <w:highlight w:val="yellow"/>
        </w:rPr>
        <w:t>万元（含</w:t>
      </w:r>
      <w:r>
        <w:rPr>
          <w:rFonts w:hint="eastAsia" w:ascii="宋体" w:hAnsi="宋体" w:cs="宋体"/>
          <w:szCs w:val="21"/>
          <w:highlight w:val="yellow"/>
          <w:lang w:val="en-US" w:eastAsia="zh-CN"/>
        </w:rPr>
        <w:t>13</w:t>
      </w:r>
      <w:bookmarkStart w:id="0" w:name="_GoBack"/>
      <w:bookmarkEnd w:id="0"/>
      <w:r>
        <w:rPr>
          <w:rFonts w:hint="eastAsia" w:ascii="宋体" w:hAnsi="宋体" w:cs="宋体"/>
          <w:szCs w:val="21"/>
          <w:highlight w:val="yellow"/>
        </w:rPr>
        <w:t>万元）</w:t>
      </w:r>
      <w:r>
        <w:rPr>
          <w:rFonts w:hint="eastAsia" w:ascii="宋体" w:hAnsi="宋体" w:cs="宋体"/>
          <w:szCs w:val="21"/>
        </w:rPr>
        <w:t>，超出此范围或低于50%的报价，则参选价格无效。</w:t>
      </w:r>
    </w:p>
    <w:p>
      <w:pPr>
        <w:pStyle w:val="10"/>
        <w:rPr>
          <w:rFonts w:hint="eastAsia" w:ascii="宋体" w:hAnsi="宋体" w:cs="宋体"/>
          <w:szCs w:val="21"/>
        </w:rPr>
      </w:pPr>
    </w:p>
    <w:p>
      <w:pPr>
        <w:pStyle w:val="10"/>
        <w:ind w:firstLine="0" w:firstLineChars="0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价格评估表</w:t>
      </w:r>
    </w:p>
    <w:p>
      <w:pPr>
        <w:pStyle w:val="10"/>
        <w:ind w:firstLine="0" w:firstLineChars="0"/>
        <w:rPr>
          <w:rFonts w:hint="eastAsia" w:ascii="宋体" w:hAnsi="宋体" w:cs="宋体"/>
          <w:b/>
          <w:sz w:val="28"/>
          <w:szCs w:val="28"/>
        </w:rPr>
      </w:pPr>
    </w:p>
    <w:p>
      <w:pPr>
        <w:pStyle w:val="10"/>
        <w:ind w:firstLine="422"/>
        <w:rPr>
          <w:rFonts w:ascii="宋体" w:hAnsi="宋体" w:cs="宋体"/>
          <w:b/>
          <w:bCs/>
          <w:szCs w:val="21"/>
          <w:u w:val="single"/>
        </w:rPr>
      </w:pPr>
      <w:r>
        <w:rPr>
          <w:rFonts w:hint="eastAsia" w:ascii="宋体" w:hAnsi="宋体" w:cs="宋体"/>
          <w:b/>
          <w:bCs/>
          <w:szCs w:val="21"/>
        </w:rPr>
        <w:t>评分人：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b/>
          <w:bCs/>
          <w:szCs w:val="21"/>
        </w:rPr>
        <w:t xml:space="preserve">       被评单位：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b/>
          <w:bCs/>
          <w:szCs w:val="21"/>
        </w:rPr>
        <w:t xml:space="preserve">        日期：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25"/>
        <w:gridCol w:w="720"/>
        <w:gridCol w:w="688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04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评分因素</w:t>
            </w:r>
          </w:p>
          <w:p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及权重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6885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704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  <w:t>参选价格（</w:t>
            </w: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30分</w:t>
            </w:r>
          </w:p>
        </w:tc>
        <w:tc>
          <w:tcPr>
            <w:tcW w:w="6885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对采购需求文件做出实质性响应的所有合格参选公司中，采用低价优先法计算，即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满足采购文件要求且参选价格最低的参选报价为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</w:rPr>
              <w:t>评选基准价</w:t>
            </w:r>
            <w:r>
              <w:rPr>
                <w:rFonts w:hint="eastAsia" w:ascii="Times New Roman" w:hAnsi="Times New Roman"/>
                <w:szCs w:val="21"/>
              </w:rPr>
              <w:t>，其价格分为满分。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其他参选人</w:t>
            </w:r>
            <w:r>
              <w:rPr>
                <w:rFonts w:hint="eastAsia" w:ascii="Times New Roman" w:hAnsi="Times New Roman"/>
                <w:szCs w:val="21"/>
              </w:rPr>
              <w:t>的价格分统一按照下列公式计算：参选人价格得分＝（评选基准价 / 参选报价）× 价格满分基数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四舍五入，保留小数点后两位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pStyle w:val="10"/>
        <w:spacing w:line="280" w:lineRule="exact"/>
        <w:rPr>
          <w:rFonts w:ascii="Times New Roman" w:hAnsi="Times New Roman"/>
          <w:szCs w:val="21"/>
        </w:rPr>
      </w:pPr>
    </w:p>
    <w:p>
      <w:pPr>
        <w:spacing w:line="360" w:lineRule="auto"/>
        <w:rPr>
          <w:rFonts w:ascii="Times New Roman" w:hAnsi="Times New Roman"/>
          <w:b/>
          <w:bCs/>
          <w:szCs w:val="21"/>
          <w:u w:val="single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MjAxNDMwZDUyMTcxMTZmN2UyYmViMzAzYWVmYTYifQ=="/>
  </w:docVars>
  <w:rsids>
    <w:rsidRoot w:val="15731ABB"/>
    <w:rsid w:val="000B3992"/>
    <w:rsid w:val="001574E9"/>
    <w:rsid w:val="001F36E8"/>
    <w:rsid w:val="004127A0"/>
    <w:rsid w:val="005F4B0A"/>
    <w:rsid w:val="00962FDC"/>
    <w:rsid w:val="00DF4484"/>
    <w:rsid w:val="00E44DE8"/>
    <w:rsid w:val="00EA4165"/>
    <w:rsid w:val="00FF4111"/>
    <w:rsid w:val="0320206D"/>
    <w:rsid w:val="03280EF8"/>
    <w:rsid w:val="05B35315"/>
    <w:rsid w:val="06F14CEC"/>
    <w:rsid w:val="0B47056F"/>
    <w:rsid w:val="0B8F3662"/>
    <w:rsid w:val="0E177135"/>
    <w:rsid w:val="10887040"/>
    <w:rsid w:val="139F5836"/>
    <w:rsid w:val="14C02537"/>
    <w:rsid w:val="15731ABB"/>
    <w:rsid w:val="1E87044D"/>
    <w:rsid w:val="201D67A0"/>
    <w:rsid w:val="29134C31"/>
    <w:rsid w:val="291717EB"/>
    <w:rsid w:val="2AB01C37"/>
    <w:rsid w:val="2AF134EA"/>
    <w:rsid w:val="2C532E3B"/>
    <w:rsid w:val="2D030016"/>
    <w:rsid w:val="2D506C2A"/>
    <w:rsid w:val="2E133647"/>
    <w:rsid w:val="3173485A"/>
    <w:rsid w:val="3D3B4DBE"/>
    <w:rsid w:val="3FE414AE"/>
    <w:rsid w:val="40BE2826"/>
    <w:rsid w:val="41B94432"/>
    <w:rsid w:val="427E47F8"/>
    <w:rsid w:val="42EB01F3"/>
    <w:rsid w:val="4EAE66C9"/>
    <w:rsid w:val="4F8A584E"/>
    <w:rsid w:val="521E729D"/>
    <w:rsid w:val="55A71B48"/>
    <w:rsid w:val="5AA62D19"/>
    <w:rsid w:val="5C184DC5"/>
    <w:rsid w:val="5C3D640F"/>
    <w:rsid w:val="5CFA6AA2"/>
    <w:rsid w:val="5D4B2AE4"/>
    <w:rsid w:val="60A658F7"/>
    <w:rsid w:val="61487D8D"/>
    <w:rsid w:val="639C7528"/>
    <w:rsid w:val="651F2662"/>
    <w:rsid w:val="6AF11007"/>
    <w:rsid w:val="6D953867"/>
    <w:rsid w:val="71C51186"/>
    <w:rsid w:val="74D27DFC"/>
    <w:rsid w:val="75DA4AC3"/>
    <w:rsid w:val="783A7F06"/>
    <w:rsid w:val="79915BEE"/>
    <w:rsid w:val="7FF271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3"/>
    <w:autoRedefine/>
    <w:qFormat/>
    <w:uiPriority w:val="0"/>
    <w:rPr>
      <w:kern w:val="2"/>
      <w:sz w:val="18"/>
      <w:szCs w:val="18"/>
    </w:rPr>
  </w:style>
  <w:style w:type="paragraph" w:customStyle="1" w:styleId="9">
    <w:name w:val="列出段落1"/>
    <w:basedOn w:val="1"/>
    <w:autoRedefine/>
    <w:qFormat/>
    <w:uiPriority w:val="99"/>
    <w:pPr>
      <w:widowControl/>
      <w:ind w:left="720"/>
      <w:contextualSpacing/>
      <w:jc w:val="left"/>
    </w:pPr>
    <w:rPr>
      <w:rFonts w:ascii="Arial" w:hAnsi="Arial" w:eastAsia="黑体"/>
      <w:kern w:val="0"/>
      <w:sz w:val="24"/>
      <w:lang w:eastAsia="en-US"/>
    </w:rPr>
  </w:style>
  <w:style w:type="paragraph" w:customStyle="1" w:styleId="10">
    <w:name w:val="列出段落2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902</Words>
  <Characters>942</Characters>
  <Lines>9</Lines>
  <Paragraphs>2</Paragraphs>
  <TotalTime>479</TotalTime>
  <ScaleCrop>false</ScaleCrop>
  <LinksUpToDate>false</LinksUpToDate>
  <CharactersWithSpaces>1086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2021-04-20T02:46:00Z</dcterms:created>
  <dc:creator>Administrator</dc:creator>
  <cp:lastModifiedBy> L－SYing*</cp:lastModifiedBy>
  <cp:lastPrinted>2024-02-01T07:35:00Z</cp:lastPrinted>
  <dcterms:modified xsi:type="dcterms:W3CDTF">2024-03-06T06:45:32Z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1FE57FD6808F46149E834D2F06A6EE7F</vt:lpwstr>
  </property>
</Properties>
</file>